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МИНПРОСВЕЩЕНИЯ РОССИИ</w:t>
      </w:r>
      <w:r/>
    </w:p>
    <w:p>
      <w:pPr>
        <w:pStyle w:val="6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</w:t>
      </w:r>
      <w:r/>
    </w:p>
    <w:p>
      <w:pPr>
        <w:pStyle w:val="6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образования</w:t>
      </w:r>
      <w:r/>
    </w:p>
    <w:p>
      <w:pPr>
        <w:pStyle w:val="6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  <w:r/>
    </w:p>
    <w:p>
      <w:pPr>
        <w:pStyle w:val="6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Козьмы Минина»</w:t>
      </w:r>
      <w:r/>
    </w:p>
    <w:p>
      <w:pPr>
        <w:pStyle w:val="603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ind w:left="3402" w:firstLine="1418"/>
      </w:pPr>
      <w:r/>
      <w:r/>
    </w:p>
    <w:p>
      <w:pPr>
        <w:pStyle w:val="603"/>
        <w:contextualSpacing w:val="true"/>
        <w:ind w:left="4820" w:firstLine="0"/>
        <w:spacing w:after="0" w:before="0"/>
      </w:pPr>
      <w:r>
        <w:t xml:space="preserve">УТВЕРЖДЕНО </w:t>
      </w:r>
      <w:r/>
    </w:p>
    <w:p>
      <w:pPr>
        <w:pStyle w:val="603"/>
        <w:contextualSpacing w:val="true"/>
        <w:ind w:left="4820" w:firstLine="0"/>
        <w:spacing w:after="0" w:before="0"/>
      </w:pPr>
      <w:r>
        <w:t xml:space="preserve">Решением Ученого совета </w:t>
      </w:r>
      <w:r/>
    </w:p>
    <w:p>
      <w:pPr>
        <w:pStyle w:val="603"/>
        <w:contextualSpacing w:val="true"/>
        <w:ind w:left="4820" w:firstLine="0"/>
        <w:spacing w:after="0" w:before="0"/>
      </w:pPr>
      <w:r>
        <w:t xml:space="preserve">Протокол № 8</w:t>
      </w:r>
      <w:r/>
    </w:p>
    <w:p>
      <w:pPr>
        <w:pStyle w:val="603"/>
        <w:contextualSpacing w:val="true"/>
        <w:ind w:left="4820" w:firstLine="0"/>
        <w:spacing w:after="0" w:before="0"/>
      </w:pPr>
      <w:r>
        <w:t xml:space="preserve">«19»  апреля 2019 г.</w:t>
      </w:r>
      <w:r/>
    </w:p>
    <w:p>
      <w:pPr>
        <w:pStyle w:val="6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jc w:val="center"/>
      </w:pPr>
      <w:r>
        <w:rPr>
          <w:b/>
          <w:sz w:val="28"/>
          <w:szCs w:val="28"/>
        </w:rPr>
        <w:t xml:space="preserve">ПРОГРАММА ПРОИЗВОДСТВЕННОЙ ПРАКТИКИ</w:t>
      </w:r>
      <w:r/>
    </w:p>
    <w:p>
      <w:pPr>
        <w:pStyle w:val="603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</w:r>
      <w:r/>
    </w:p>
    <w:p>
      <w:pPr>
        <w:pStyle w:val="603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tbl>
      <w:tblPr>
        <w:tblW w:w="9397" w:type="dxa"/>
        <w:jc w:val="center"/>
        <w:tblInd w:w="0" w:type="dxa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144"/>
        <w:gridCol w:w="6253"/>
      </w:tblGrid>
      <w:tr>
        <w:trPr>
          <w:trHeight w:val="303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3"/>
              <w:rPr>
                <w:b/>
              </w:rPr>
            </w:pPr>
            <w:r>
              <w:rPr>
                <w:b/>
              </w:rPr>
              <w:t xml:space="preserve">Направление подготовки (специальность)</w:t>
            </w:r>
            <w:r/>
          </w:p>
        </w:tc>
        <w:tc>
          <w:tcPr>
            <w:shd w:val="clear" w:fill="auto" w:color="auto"/>
            <w:tcW w:w="6253" w:type="dxa"/>
            <w:vAlign w:val="center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44.03.04 Профессиональное обучение (по отраслям)</w:t>
            </w:r>
            <w:r/>
          </w:p>
        </w:tc>
      </w:tr>
      <w:tr>
        <w:trPr>
          <w:trHeight w:val="146"/>
        </w:trPr>
        <w:tc>
          <w:tcPr>
            <w:gridSpan w:val="2"/>
            <w:shd w:val="clear" w:fill="auto" w:color="auto"/>
            <w:tcW w:w="9397" w:type="dxa"/>
            <w:vAlign w:val="center"/>
            <w:textDirection w:val="lrTb"/>
            <w:noWrap w:val="false"/>
          </w:tcPr>
          <w:p>
            <w:pPr>
              <w:pStyle w:val="603"/>
              <w:ind w:firstLine="6521"/>
              <w:rPr>
                <w:b/>
                <w:bCs/>
              </w:rPr>
            </w:pPr>
            <w:r>
              <w:rPr>
                <w:b/>
                <w:bCs/>
              </w:rPr>
            </w:r>
            <w:r/>
          </w:p>
        </w:tc>
      </w:tr>
      <w:tr>
        <w:trPr>
          <w:trHeight w:val="292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3"/>
              <w:rPr>
                <w:b/>
              </w:rPr>
            </w:pPr>
            <w:r>
              <w:rPr>
                <w:b/>
              </w:rPr>
              <w:t xml:space="preserve">Профиль подготовки (специализация)</w:t>
            </w:r>
            <w:r/>
          </w:p>
        </w:tc>
        <w:tc>
          <w:tcPr>
            <w:shd w:val="clear" w:fill="auto" w:color="auto"/>
            <w:tcW w:w="6253" w:type="dxa"/>
            <w:vAlign w:val="center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Финансы</w:t>
            </w:r>
            <w:r/>
          </w:p>
        </w:tc>
      </w:tr>
      <w:tr>
        <w:trPr>
          <w:trHeight w:val="292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3"/>
              <w:rPr>
                <w:b/>
              </w:rPr>
            </w:pPr>
            <w:r>
              <w:rPr>
                <w:b/>
              </w:rPr>
            </w:r>
            <w:r/>
          </w:p>
        </w:tc>
        <w:tc>
          <w:tcPr>
            <w:shd w:val="clear" w:fill="auto" w:color="auto"/>
            <w:tcW w:w="6253" w:type="dxa"/>
            <w:vAlign w:val="center"/>
            <w:textDirection w:val="lrTb"/>
            <w:noWrap w:val="false"/>
          </w:tcPr>
          <w:p>
            <w:pPr>
              <w:pStyle w:val="603"/>
              <w:rPr>
                <w:b/>
              </w:rPr>
            </w:pPr>
            <w:r>
              <w:rPr>
                <w:b/>
              </w:rPr>
            </w:r>
            <w:r/>
          </w:p>
        </w:tc>
      </w:tr>
      <w:tr>
        <w:trPr>
          <w:trHeight w:val="623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3"/>
              <w:rPr>
                <w:b/>
              </w:rPr>
            </w:pPr>
            <w:r>
              <w:rPr>
                <w:b/>
                <w:bCs/>
              </w:rPr>
              <w:t xml:space="preserve">Квалификация  выпускника</w:t>
            </w:r>
            <w:r/>
          </w:p>
        </w:tc>
        <w:tc>
          <w:tcPr>
            <w:shd w:val="clear" w:fill="auto" w:color="auto"/>
            <w:tcW w:w="6253" w:type="dxa"/>
            <w:vAlign w:val="center"/>
            <w:textDirection w:val="lrTb"/>
            <w:noWrap w:val="false"/>
          </w:tcPr>
          <w:p>
            <w:pPr>
              <w:pStyle w:val="603"/>
              <w:rPr>
                <w:b/>
              </w:rPr>
            </w:pPr>
            <w:r>
              <w:rPr>
                <w:b/>
              </w:rPr>
            </w:r>
            <w:r/>
          </w:p>
          <w:p>
            <w:pPr>
              <w:pStyle w:val="603"/>
              <w:jc w:val="center"/>
            </w:pPr>
            <w:r>
              <w:t xml:space="preserve">бакалавр</w:t>
            </w:r>
            <w:r/>
          </w:p>
        </w:tc>
      </w:tr>
      <w:tr>
        <w:trPr>
          <w:trHeight w:val="209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3"/>
            </w:pPr>
            <w:r/>
            <w:r/>
          </w:p>
        </w:tc>
        <w:tc>
          <w:tcPr>
            <w:shd w:val="clear" w:fill="auto" w:color="auto"/>
            <w:tcW w:w="6253" w:type="dxa"/>
            <w:textDirection w:val="lrTb"/>
            <w:noWrap w:val="false"/>
          </w:tcPr>
          <w:p>
            <w:pPr>
              <w:pStyle w:val="603"/>
              <w:jc w:val="center"/>
            </w:pPr>
            <w:r/>
            <w:r/>
          </w:p>
        </w:tc>
      </w:tr>
      <w:tr>
        <w:trPr>
          <w:trHeight w:val="314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3"/>
              <w:tabs>
                <w:tab w:val="clear" w:pos="708" w:leader="none"/>
                <w:tab w:val="right" w:pos="9639" w:leader="underscore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Форма обучения </w:t>
            </w:r>
            <w:r/>
          </w:p>
        </w:tc>
        <w:tc>
          <w:tcPr>
            <w:shd w:val="clear" w:fill="auto" w:color="auto"/>
            <w:tcW w:w="6253" w:type="dxa"/>
            <w:vAlign w:val="center"/>
            <w:textDirection w:val="lrTb"/>
            <w:noWrap w:val="false"/>
          </w:tcPr>
          <w:p>
            <w:pPr>
              <w:pStyle w:val="603"/>
              <w:jc w:val="center"/>
              <w:tabs>
                <w:tab w:val="clear" w:pos="708" w:leader="none"/>
                <w:tab w:val="right" w:pos="9639" w:leader="underscore"/>
              </w:tabs>
            </w:pPr>
            <w:r>
              <w:t xml:space="preserve">очная</w:t>
            </w:r>
            <w:r/>
          </w:p>
        </w:tc>
      </w:tr>
      <w:tr>
        <w:trPr>
          <w:trHeight w:val="170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3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/>
          </w:p>
        </w:tc>
        <w:tc>
          <w:tcPr>
            <w:shd w:val="clear" w:fill="auto" w:color="auto"/>
            <w:tcW w:w="6253" w:type="dxa"/>
            <w:vAlign w:val="center"/>
            <w:textDirection w:val="lrTb"/>
            <w:noWrap w:val="false"/>
          </w:tcPr>
          <w:p>
            <w:pPr>
              <w:pStyle w:val="603"/>
              <w:ind w:left="30" w:firstLine="0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/>
          </w:p>
        </w:tc>
      </w:tr>
      <w:tr>
        <w:trPr>
          <w:trHeight w:val="170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3"/>
              <w:tabs>
                <w:tab w:val="clear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/>
                <w:bCs/>
              </w:rPr>
              <w:t xml:space="preserve">Тип практики</w:t>
            </w:r>
            <w:r/>
          </w:p>
        </w:tc>
        <w:tc>
          <w:tcPr>
            <w:shd w:val="clear" w:fill="auto" w:color="auto"/>
            <w:tcW w:w="6253" w:type="dxa"/>
            <w:vAlign w:val="center"/>
            <w:textDirection w:val="lrTb"/>
            <w:noWrap w:val="false"/>
          </w:tcPr>
          <w:p>
            <w:pPr>
              <w:pStyle w:val="603"/>
              <w:jc w:val="center"/>
              <w:tabs>
                <w:tab w:val="clear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методическая, проектная</w:t>
            </w:r>
            <w:r/>
          </w:p>
        </w:tc>
      </w:tr>
      <w:tr>
        <w:trPr>
          <w:trHeight w:val="170"/>
        </w:trPr>
        <w:tc>
          <w:tcPr>
            <w:shd w:val="clear" w:fill="auto" w:color="auto"/>
            <w:tcW w:w="3144" w:type="dxa"/>
            <w:vAlign w:val="center"/>
            <w:textDirection w:val="lrTb"/>
            <w:noWrap w:val="false"/>
          </w:tcPr>
          <w:p>
            <w:pPr>
              <w:pStyle w:val="603"/>
              <w:tabs>
                <w:tab w:val="clear" w:pos="708" w:leader="none"/>
                <w:tab w:val="right" w:pos="9639" w:leader="underscore"/>
              </w:tabs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</w:r>
            <w:r/>
          </w:p>
        </w:tc>
        <w:tc>
          <w:tcPr>
            <w:shd w:val="clear" w:fill="auto" w:color="auto"/>
            <w:tcW w:w="6253" w:type="dxa"/>
            <w:vAlign w:val="center"/>
            <w:textDirection w:val="lrTb"/>
            <w:noWrap w:val="false"/>
          </w:tcPr>
          <w:p>
            <w:pPr>
              <w:pStyle w:val="603"/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</w:r>
            <w:r/>
          </w:p>
        </w:tc>
      </w:tr>
    </w:tbl>
    <w:p>
      <w:pPr>
        <w:pStyle w:val="603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tbl>
      <w:tblPr>
        <w:tblW w:w="8368" w:type="dxa"/>
        <w:jc w:val="center"/>
        <w:tblInd w:w="0" w:type="dxa"/>
        <w:tblBorders>
          <w:left w:val="single" w:color="000000" w:sz="4" w:space="0"/>
          <w:top w:val="single" w:color="000000" w:sz="8" w:space="0"/>
          <w:bottom w:val="single" w:color="000000" w:sz="8" w:space="0"/>
          <w:insideH w:val="single" w:color="000000" w:sz="8" w:space="0"/>
        </w:tblBorders>
        <w:tblCellMar>
          <w:left w:w="28" w:type="dxa"/>
          <w:top w:w="0" w:type="dxa"/>
          <w:right w:w="28" w:type="dxa"/>
          <w:bottom w:w="0" w:type="dxa"/>
        </w:tblCellMar>
        <w:tblLook w:val="04A0" w:firstRow="1" w:lastRow="0" w:firstColumn="1" w:lastColumn="0" w:noHBand="0" w:noVBand="1"/>
      </w:tblPr>
      <w:tblGrid>
        <w:gridCol w:w="1624"/>
        <w:gridCol w:w="2464"/>
        <w:gridCol w:w="4280"/>
      </w:tblGrid>
      <w:tr>
        <w:trPr>
          <w:trHeight w:val="456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8" w:space="0"/>
              <w:bottom w:val="single" w:color="000000" w:sz="8" w:space="0"/>
              <w:insideH w:val="single" w:color="000000" w:sz="8" w:space="0"/>
            </w:tcBorders>
            <w:tcW w:w="1624" w:type="dxa"/>
            <w:vAlign w:val="center"/>
            <w:textDirection w:val="lrTb"/>
            <w:noWrap w:val="false"/>
          </w:tcPr>
          <w:p>
            <w:pPr>
              <w:pStyle w:val="603"/>
              <w:jc w:val="center"/>
              <w:spacing w:lineRule="exact" w:line="240"/>
              <w:rPr>
                <w:b/>
              </w:rPr>
            </w:pPr>
            <w:r>
              <w:rPr>
                <w:b/>
              </w:rPr>
              <w:t xml:space="preserve">Семестр/Курс  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8" w:space="0"/>
              <w:bottom w:val="single" w:color="000000" w:sz="8" w:space="0"/>
              <w:insideH w:val="single" w:color="000000" w:sz="8" w:space="0"/>
            </w:tcBorders>
            <w:tcMar>
              <w:left w:w="108" w:type="dxa"/>
              <w:right w:w="108" w:type="dxa"/>
            </w:tcMar>
            <w:tcW w:w="2464" w:type="dxa"/>
            <w:vAlign w:val="center"/>
            <w:textDirection w:val="lrTb"/>
            <w:noWrap w:val="false"/>
          </w:tcPr>
          <w:p>
            <w:pPr>
              <w:pStyle w:val="603"/>
              <w:ind w:firstLine="12"/>
              <w:jc w:val="center"/>
              <w:spacing w:lineRule="exact" w:line="220"/>
            </w:pPr>
            <w:r>
              <w:rPr>
                <w:b/>
              </w:rPr>
              <w:t xml:space="preserve">Трудоемкость  з.е.</w:t>
            </w:r>
            <w:r>
              <w:rPr>
                <w:b/>
                <w:lang w:val="en-US"/>
              </w:rPr>
              <w:t xml:space="preserve">/</w:t>
            </w:r>
            <w:r>
              <w:rPr>
                <w:b/>
              </w:rPr>
              <w:t xml:space="preserve">час.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  <w:insideV w:val="single" w:color="000000" w:sz="8" w:space="0"/>
              <w:insideH w:val="single" w:color="000000" w:sz="8" w:space="0"/>
            </w:tcBorders>
            <w:tcMar>
              <w:left w:w="108" w:type="dxa"/>
              <w:right w:w="108" w:type="dxa"/>
            </w:tcMar>
            <w:tcW w:w="4280" w:type="dxa"/>
            <w:vAlign w:val="center"/>
            <w:textDirection w:val="lrTb"/>
            <w:noWrap w:val="false"/>
          </w:tcPr>
          <w:p>
            <w:pPr>
              <w:pStyle w:val="603"/>
              <w:jc w:val="center"/>
              <w:spacing w:lineRule="exact" w:line="220"/>
              <w:rPr>
                <w:b/>
              </w:rPr>
            </w:pPr>
            <w:r>
              <w:rPr>
                <w:b/>
              </w:rPr>
              <w:t xml:space="preserve">Форма промежуточной аттестации</w:t>
            </w:r>
            <w:r/>
          </w:p>
          <w:p>
            <w:pPr>
              <w:pStyle w:val="603"/>
              <w:jc w:val="center"/>
              <w:spacing w:lineRule="exact" w:line="220"/>
              <w:rPr>
                <w:b/>
              </w:rPr>
            </w:pPr>
            <w:r>
              <w:rPr>
                <w:b/>
              </w:rPr>
              <w:t xml:space="preserve">(зачет/зачет с оценкой)</w:t>
            </w:r>
            <w:r/>
          </w:p>
        </w:tc>
      </w:tr>
      <w:tr>
        <w:trPr>
          <w:trHeight w:val="289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8" w:space="0"/>
              <w:bottom w:val="single" w:color="000000" w:sz="8" w:space="0"/>
              <w:insideH w:val="single" w:color="000000" w:sz="8" w:space="0"/>
            </w:tcBorders>
            <w:tcW w:w="1624" w:type="dxa"/>
            <w:vAlign w:val="center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7 / 4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8" w:space="0"/>
              <w:bottom w:val="single" w:color="000000" w:sz="8" w:space="0"/>
              <w:insideH w:val="single" w:color="000000" w:sz="8" w:space="0"/>
            </w:tcBorders>
            <w:tcMar>
              <w:left w:w="108" w:type="dxa"/>
              <w:right w:w="108" w:type="dxa"/>
            </w:tcMar>
            <w:tcW w:w="2464" w:type="dxa"/>
            <w:vAlign w:val="center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6 / 216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  <w:insideV w:val="single" w:color="000000" w:sz="8" w:space="0"/>
              <w:insideH w:val="single" w:color="000000" w:sz="8" w:space="0"/>
            </w:tcBorders>
            <w:tcMar>
              <w:left w:w="108" w:type="dxa"/>
              <w:right w:w="108" w:type="dxa"/>
            </w:tcMar>
            <w:tcW w:w="4280" w:type="dxa"/>
            <w:vAlign w:val="center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зачет с оценкой</w:t>
            </w:r>
            <w:r/>
          </w:p>
        </w:tc>
      </w:tr>
      <w:tr>
        <w:trPr>
          <w:trHeight w:val="297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8" w:space="0"/>
              <w:bottom w:val="single" w:color="000000" w:sz="8" w:space="0"/>
              <w:insideH w:val="single" w:color="000000" w:sz="8" w:space="0"/>
            </w:tcBorders>
            <w:tcW w:w="1624" w:type="dxa"/>
            <w:vAlign w:val="center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8 / 4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8" w:space="0"/>
              <w:bottom w:val="single" w:color="000000" w:sz="8" w:space="0"/>
              <w:insideH w:val="single" w:color="000000" w:sz="8" w:space="0"/>
            </w:tcBorders>
            <w:tcMar>
              <w:left w:w="108" w:type="dxa"/>
              <w:right w:w="108" w:type="dxa"/>
            </w:tcMar>
            <w:tcW w:w="2464" w:type="dxa"/>
            <w:vAlign w:val="center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6 / 216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  <w:insideV w:val="single" w:color="000000" w:sz="8" w:space="0"/>
              <w:insideH w:val="single" w:color="000000" w:sz="8" w:space="0"/>
            </w:tcBorders>
            <w:tcMar>
              <w:left w:w="108" w:type="dxa"/>
              <w:right w:w="108" w:type="dxa"/>
            </w:tcMar>
            <w:tcW w:w="4280" w:type="dxa"/>
            <w:vAlign w:val="center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зачет с оценкой</w:t>
            </w:r>
            <w:r/>
          </w:p>
        </w:tc>
      </w:tr>
      <w:tr>
        <w:trPr>
          <w:trHeight w:val="289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8" w:space="0"/>
              <w:bottom w:val="single" w:color="000000" w:sz="8" w:space="0"/>
              <w:insideH w:val="single" w:color="000000" w:sz="8" w:space="0"/>
            </w:tcBorders>
            <w:tcW w:w="1624" w:type="dxa"/>
            <w:vAlign w:val="center"/>
            <w:textDirection w:val="lrTb"/>
            <w:noWrap w:val="false"/>
          </w:tcPr>
          <w:p>
            <w:pPr>
              <w:pStyle w:val="603"/>
              <w:ind w:firstLine="36"/>
              <w:jc w:val="center"/>
              <w:rPr>
                <w:b/>
              </w:rPr>
            </w:pPr>
            <w:r>
              <w:rPr>
                <w:b/>
              </w:rPr>
              <w:t xml:space="preserve">Итого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8" w:space="0"/>
              <w:bottom w:val="single" w:color="000000" w:sz="8" w:space="0"/>
              <w:insideH w:val="single" w:color="000000" w:sz="8" w:space="0"/>
            </w:tcBorders>
            <w:tcMar>
              <w:left w:w="108" w:type="dxa"/>
              <w:right w:w="108" w:type="dxa"/>
            </w:tcMar>
            <w:tcW w:w="2464" w:type="dxa"/>
            <w:vAlign w:val="center"/>
            <w:textDirection w:val="lrTb"/>
            <w:noWrap w:val="false"/>
          </w:tcPr>
          <w:p>
            <w:pPr>
              <w:pStyle w:val="603"/>
              <w:jc w:val="center"/>
              <w:rPr>
                <w:b/>
              </w:rPr>
            </w:pPr>
            <w:r>
              <w:rPr>
                <w:b/>
              </w:rPr>
              <w:t xml:space="preserve">12 / 432</w:t>
            </w:r>
            <w:r/>
          </w:p>
        </w:tc>
        <w:tc>
          <w:tcPr>
            <w:shd w:val="clear" w:fill="auto" w:color="auto"/>
            <w:tcBorders>
              <w:left w:val="single" w:color="000000" w:sz="8" w:space="0"/>
              <w:top w:val="single" w:color="000000" w:sz="8" w:space="0"/>
              <w:right w:val="single" w:color="000000" w:sz="8" w:space="0"/>
              <w:bottom w:val="single" w:color="000000" w:sz="8" w:space="0"/>
              <w:insideV w:val="single" w:color="000000" w:sz="8" w:space="0"/>
              <w:insideH w:val="single" w:color="000000" w:sz="8" w:space="0"/>
            </w:tcBorders>
            <w:tcMar>
              <w:left w:w="108" w:type="dxa"/>
              <w:right w:w="108" w:type="dxa"/>
            </w:tcMar>
            <w:tcW w:w="4280" w:type="dxa"/>
            <w:vAlign w:val="center"/>
            <w:textDirection w:val="lrTb"/>
            <w:noWrap w:val="false"/>
          </w:tcPr>
          <w:p>
            <w:pPr>
              <w:pStyle w:val="603"/>
              <w:jc w:val="center"/>
              <w:rPr>
                <w:b/>
              </w:rPr>
            </w:pPr>
            <w:r>
              <w:rPr>
                <w:b/>
              </w:rPr>
            </w:r>
            <w:r/>
          </w:p>
        </w:tc>
      </w:tr>
    </w:tbl>
    <w:p>
      <w:pPr>
        <w:pStyle w:val="603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jc w:val="center"/>
      </w:pPr>
      <w:r>
        <w:rPr>
          <w:sz w:val="28"/>
          <w:szCs w:val="28"/>
        </w:rPr>
        <w:t xml:space="preserve">г. Нижний Новгород</w:t>
      </w:r>
      <w:r/>
    </w:p>
    <w:p>
      <w:pPr>
        <w:pStyle w:val="603"/>
        <w:jc w:val="center"/>
      </w:pPr>
      <w:r>
        <w:rPr>
          <w:sz w:val="28"/>
          <w:szCs w:val="28"/>
        </w:rPr>
        <w:t xml:space="preserve">2019 г.</w:t>
      </w:r>
      <w:r/>
    </w:p>
    <w:p>
      <w:pPr>
        <w:pStyle w:val="603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center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на основе:</w:t>
      </w:r>
      <w:r/>
    </w:p>
    <w:p>
      <w:pPr>
        <w:pStyle w:val="603"/>
        <w:numPr>
          <w:ilvl w:val="0"/>
          <w:numId w:val="1"/>
        </w:numPr>
        <w:ind w:left="0" w:firstLine="709"/>
        <w:jc w:val="both"/>
        <w:tabs>
          <w:tab w:val="left" w:pos="567" w:leader="none"/>
          <w:tab w:val="clear" w:pos="708" w:leader="none"/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Федерального государственного образовательного стандарта высшего  образования по направлению подготовки 44.03.04 Профессиональное обучение (по отраслям), утвержденного приказом Министерства образования и науки РФ от «22» февраля 2018 г., № 124.</w:t>
      </w:r>
      <w:r/>
    </w:p>
    <w:p>
      <w:pPr>
        <w:pStyle w:val="603"/>
        <w:numPr>
          <w:ilvl w:val="0"/>
          <w:numId w:val="1"/>
        </w:numPr>
        <w:ind w:left="0" w:firstLine="709"/>
        <w:jc w:val="both"/>
        <w:tabs>
          <w:tab w:val="left" w:pos="567" w:leader="none"/>
          <w:tab w:val="clear" w:pos="708" w:leader="none"/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Учебного плана по направлению подготовки 44.03.04 Профессиональное обучение (по отраслям), профилю подготовки Финансы, утвержденного решением Ученого совета НГПУ им. К. Минина от                   «19»  апреля 2019 г., протокол № 8.</w:t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производственной (методической, проектной) практики принята на заседании кафедры профессионального образования и управления образовательными системами, от «22» февраля 2019 г., протокол №7.</w:t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д-р пед. наук, профессор                              С.М.Маркова</w:t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45"/>
        <w:numPr>
          <w:ilvl w:val="0"/>
          <w:numId w:val="2"/>
        </w:numPr>
        <w:ind w:left="0" w:firstLine="709"/>
        <w:jc w:val="both"/>
        <w:tabs>
          <w:tab w:val="left" w:pos="284" w:leader="none"/>
          <w:tab w:val="clear" w:pos="708" w:leader="none"/>
          <w:tab w:val="left" w:pos="1134" w:leader="none"/>
          <w:tab w:val="right" w:pos="9639" w:leader="underscore"/>
        </w:tabs>
      </w:pPr>
      <w:r>
        <w:rPr>
          <w:b/>
          <w:bCs/>
          <w:sz w:val="28"/>
          <w:szCs w:val="28"/>
        </w:rPr>
        <w:t xml:space="preserve">Цели и задачи производственной (методической, проектной) практики</w:t>
      </w:r>
      <w:r/>
    </w:p>
    <w:p>
      <w:pPr>
        <w:pStyle w:val="603"/>
        <w:ind w:firstLine="568"/>
        <w:jc w:val="both"/>
        <w:rPr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 xml:space="preserve">Цель практики</w:t>
      </w:r>
      <w:r>
        <w:rPr>
          <w:sz w:val="28"/>
          <w:szCs w:val="28"/>
          <w:lang w:eastAsia="ru-RU"/>
        </w:rPr>
        <w:t xml:space="preserve"> – создать условия для </w:t>
      </w:r>
      <w:r>
        <w:rPr>
          <w:sz w:val="28"/>
          <w:szCs w:val="28"/>
        </w:rPr>
        <w:t xml:space="preserve">закрепления и систематизация знаний, полученных в процессе обучения, развития имеющихся и приобретение новых профессиональных умений и навыков по избранной профессиональной деятельности.</w:t>
      </w:r>
      <w:r/>
    </w:p>
    <w:p>
      <w:pPr>
        <w:pStyle w:val="603"/>
        <w:ind w:firstLine="568"/>
        <w:jc w:val="both"/>
        <w:rPr>
          <w:i/>
          <w:iCs/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 xml:space="preserve">Задачи практики:</w:t>
      </w:r>
      <w:r/>
    </w:p>
    <w:p>
      <w:pPr>
        <w:pStyle w:val="603"/>
        <w:ind w:firstLine="568"/>
        <w:jc w:val="both"/>
        <w:tabs>
          <w:tab w:val="clear" w:pos="708" w:leader="none"/>
          <w:tab w:val="right" w:pos="9639" w:leader="underscore"/>
        </w:tabs>
      </w:pPr>
      <w:r>
        <w:rPr>
          <w:sz w:val="28"/>
          <w:szCs w:val="28"/>
        </w:rPr>
        <w:t xml:space="preserve">- овладение методами методической деятельности;</w:t>
      </w:r>
      <w:r/>
    </w:p>
    <w:p>
      <w:pPr>
        <w:pStyle w:val="603"/>
        <w:ind w:firstLine="568"/>
        <w:jc w:val="both"/>
        <w:tabs>
          <w:tab w:val="clear" w:pos="708" w:leader="none"/>
          <w:tab w:val="right" w:pos="9639" w:leader="underscore"/>
        </w:tabs>
      </w:pPr>
      <w:r>
        <w:rPr>
          <w:sz w:val="28"/>
          <w:szCs w:val="28"/>
        </w:rPr>
        <w:t xml:space="preserve">- овладение умениями библиографической работы с привлечением информационных технологий осуществления методической деятельности;</w:t>
      </w:r>
      <w:r/>
    </w:p>
    <w:p>
      <w:pPr>
        <w:pStyle w:val="603"/>
        <w:ind w:firstLine="568"/>
        <w:jc w:val="both"/>
        <w:tabs>
          <w:tab w:val="clear" w:pos="708" w:leader="none"/>
          <w:tab w:val="right" w:pos="9639" w:leader="underscore"/>
        </w:tabs>
      </w:pPr>
      <w:r>
        <w:rPr>
          <w:sz w:val="28"/>
          <w:szCs w:val="28"/>
        </w:rPr>
        <w:t xml:space="preserve">- овладение умениями организации методической деятельности субъектов образовательного процесса;</w:t>
      </w:r>
      <w:r/>
    </w:p>
    <w:p>
      <w:pPr>
        <w:pStyle w:val="603"/>
        <w:ind w:firstLine="568"/>
        <w:jc w:val="both"/>
        <w:tabs>
          <w:tab w:val="clear" w:pos="708" w:leader="none"/>
          <w:tab w:val="right" w:pos="9639" w:leader="underscore"/>
        </w:tabs>
      </w:pPr>
      <w:r>
        <w:rPr>
          <w:sz w:val="28"/>
          <w:szCs w:val="28"/>
        </w:rPr>
        <w:t xml:space="preserve">- овладение методами проектной деятельности;</w:t>
      </w:r>
      <w:r/>
    </w:p>
    <w:p>
      <w:pPr>
        <w:pStyle w:val="603"/>
        <w:ind w:firstLine="568"/>
        <w:jc w:val="both"/>
        <w:tabs>
          <w:tab w:val="clear" w:pos="708" w:leader="none"/>
          <w:tab w:val="right" w:pos="9639" w:leader="underscore"/>
        </w:tabs>
      </w:pPr>
      <w:r>
        <w:rPr>
          <w:sz w:val="28"/>
          <w:szCs w:val="28"/>
        </w:rPr>
        <w:t xml:space="preserve">- овладение умениями библиографической работы с привлечением информационных технологий осуществления проектной деятельности;</w:t>
      </w:r>
      <w:r/>
    </w:p>
    <w:p>
      <w:pPr>
        <w:pStyle w:val="603"/>
        <w:ind w:firstLine="568"/>
        <w:jc w:val="both"/>
        <w:tabs>
          <w:tab w:val="clear" w:pos="708" w:leader="none"/>
          <w:tab w:val="right" w:pos="9639" w:leader="underscore"/>
        </w:tabs>
      </w:pPr>
      <w:r>
        <w:rPr>
          <w:sz w:val="28"/>
          <w:szCs w:val="28"/>
        </w:rPr>
        <w:t xml:space="preserve">- овладение умениями организации проектной деятельности субъектов образовательного процесса.</w:t>
      </w:r>
      <w:r/>
    </w:p>
    <w:p>
      <w:pPr>
        <w:pStyle w:val="603"/>
        <w:ind w:firstLine="568"/>
        <w:jc w:val="both"/>
        <w:tabs>
          <w:tab w:val="clear" w:pos="708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603"/>
        <w:ind w:firstLine="709"/>
        <w:jc w:val="both"/>
        <w:tabs>
          <w:tab w:val="left" w:pos="708" w:leader="none"/>
          <w:tab w:val="right" w:pos="9639" w:leader="underscore"/>
        </w:tabs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</w:r>
      <w:r/>
    </w:p>
    <w:p>
      <w:pPr>
        <w:pStyle w:val="603"/>
        <w:ind w:firstLine="709"/>
        <w:jc w:val="both"/>
        <w:tabs>
          <w:tab w:val="left" w:pos="0" w:leader="none"/>
          <w:tab w:val="left" w:pos="284" w:leader="none"/>
          <w:tab w:val="clear" w:pos="708" w:leader="none"/>
          <w:tab w:val="right" w:pos="9639" w:leader="underscore"/>
        </w:tabs>
      </w:pPr>
      <w:r>
        <w:rPr>
          <w:b/>
          <w:bCs/>
          <w:sz w:val="28"/>
          <w:szCs w:val="28"/>
        </w:rPr>
        <w:t xml:space="preserve">2. Перечень планируемых результатов обучения при прохождении производственной (методической, проектной) практики, соотнесенных с планируемыми результатами освоения ОПОП</w:t>
      </w:r>
      <w:r/>
    </w:p>
    <w:p>
      <w:pPr>
        <w:pStyle w:val="603"/>
        <w:ind w:firstLine="709"/>
        <w:jc w:val="both"/>
        <w:tabs>
          <w:tab w:val="left" w:pos="0" w:leader="none"/>
          <w:tab w:val="left" w:pos="284" w:leader="none"/>
          <w:tab w:val="clear" w:pos="708" w:leader="none"/>
          <w:tab w:val="right" w:pos="9639" w:leader="underscore"/>
        </w:tabs>
      </w:pPr>
      <w:r>
        <w:rPr>
          <w:bCs/>
          <w:sz w:val="28"/>
          <w:szCs w:val="28"/>
        </w:rPr>
        <w:t xml:space="preserve">В результате прохождения производственной практики у обучающегося формируются компетенции и по итогам практики обучающийся должен продемонстрировать следующие результаты:</w:t>
      </w:r>
      <w:r/>
    </w:p>
    <w:p>
      <w:pPr>
        <w:pStyle w:val="603"/>
        <w:ind w:firstLine="709"/>
        <w:jc w:val="both"/>
        <w:tabs>
          <w:tab w:val="left" w:pos="0" w:leader="none"/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tbl>
      <w:tblPr>
        <w:tblW w:w="9863" w:type="dxa"/>
        <w:tblInd w:w="-113" w:type="dxa"/>
        <w:tblBorders>
          <w:left w:val="single" w:color="000000" w:sz="4" w:space="0"/>
          <w:top w:val="single" w:color="000000" w:sz="4" w:space="0"/>
          <w:bottom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101"/>
        <w:gridCol w:w="2126"/>
        <w:gridCol w:w="2977"/>
        <w:gridCol w:w="3659"/>
      </w:tblGrid>
      <w:tr>
        <w:trPr/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603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Код</w:t>
            </w:r>
            <w:r/>
          </w:p>
          <w:p>
            <w:pPr>
              <w:pStyle w:val="603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компетенции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rPr>
                <w:bCs/>
                <w:sz w:val="20"/>
                <w:szCs w:val="20"/>
                <w:lang w:eastAsia="ru-RU"/>
              </w:rPr>
              <w:t xml:space="preserve">Результаты освоения ОПОП</w:t>
            </w:r>
            <w:r/>
          </w:p>
          <w:p>
            <w:pPr>
              <w:pStyle w:val="603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603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Код индикатора достижения компетенции и его расшифровка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3659" w:type="dxa"/>
            <w:textDirection w:val="lrTb"/>
            <w:noWrap w:val="false"/>
          </w:tcPr>
          <w:p>
            <w:pPr>
              <w:pStyle w:val="603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Перечень планируемых</w:t>
            </w:r>
            <w:r/>
          </w:p>
          <w:p>
            <w:pPr>
              <w:pStyle w:val="603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результатов обучения</w:t>
            </w:r>
            <w:r/>
          </w:p>
        </w:tc>
      </w:tr>
      <w:tr>
        <w:trPr/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603"/>
              <w:jc w:val="center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ОПК-3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603"/>
              <w:jc w:val="both"/>
              <w:tabs>
                <w:tab w:val="clear" w:pos="708" w:leader="none"/>
                <w:tab w:val="right" w:pos="9639" w:leader="underscore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60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      </w:r>
            <w:r/>
          </w:p>
          <w:p>
            <w:pPr>
              <w:pStyle w:val="60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  <w:r/>
          </w:p>
          <w:p>
            <w:pPr>
              <w:pStyle w:val="60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  <w:r/>
          </w:p>
          <w:p>
            <w:pPr>
              <w:pStyle w:val="603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ОПК.3.4. Применяет различные подходы к учебной и воспитательной деятельности обучающихся, в том числе с особыми образовательными потребностями.</w:t>
            </w:r>
            <w:r/>
          </w:p>
          <w:p>
            <w:pPr>
              <w:pStyle w:val="603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3659" w:type="dxa"/>
            <w:textDirection w:val="lrTb"/>
            <w:noWrap w:val="false"/>
          </w:tcPr>
          <w:p>
            <w:pPr>
              <w:pStyle w:val="603"/>
              <w:jc w:val="both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знать: </w:t>
            </w:r>
            <w:r/>
          </w:p>
          <w:p>
            <w:pPr>
              <w:pStyle w:val="603"/>
              <w:jc w:val="both"/>
            </w:pPr>
            <w:r>
              <w:rPr>
                <w:bCs/>
                <w:sz w:val="20"/>
                <w:szCs w:val="20"/>
                <w:lang w:eastAsia="ru-RU"/>
              </w:rPr>
              <w:t xml:space="preserve">- сущность, структуру и содержание учебной и воспитательной деятельности  обучающихся, в соответствии с требованиями федеральных государственных образовательных стандартов;</w:t>
            </w:r>
            <w:r/>
          </w:p>
          <w:p>
            <w:pPr>
              <w:pStyle w:val="603"/>
              <w:jc w:val="both"/>
            </w:pPr>
            <w:r>
              <w:rPr>
                <w:bCs/>
                <w:sz w:val="20"/>
                <w:szCs w:val="20"/>
                <w:lang w:eastAsia="ru-RU"/>
              </w:rPr>
              <w:t xml:space="preserve">- формы, методы и приемы осуществления учебной и воспитательной деятельности обучающихся в соответствии с требованиями федеральных государственных образовательных стандартов; </w:t>
            </w:r>
            <w:r/>
          </w:p>
          <w:p>
            <w:pPr>
              <w:pStyle w:val="603"/>
              <w:jc w:val="both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уметь: </w:t>
            </w:r>
            <w:r/>
          </w:p>
          <w:p>
            <w:pPr>
              <w:pStyle w:val="603"/>
              <w:jc w:val="both"/>
            </w:pPr>
            <w:r>
              <w:rPr>
                <w:bCs/>
                <w:sz w:val="20"/>
                <w:szCs w:val="20"/>
                <w:lang w:eastAsia="ru-RU"/>
              </w:rPr>
              <w:t xml:space="preserve">- организовывать учебную и воспитательную деятельность обучающихся в соответствии с требованиями федеральных государственных образовательных стандартов; </w:t>
            </w:r>
            <w:r/>
          </w:p>
          <w:p>
            <w:pPr>
              <w:pStyle w:val="603"/>
              <w:jc w:val="both"/>
            </w:pPr>
            <w:r>
              <w:rPr>
                <w:bCs/>
                <w:sz w:val="20"/>
                <w:szCs w:val="20"/>
                <w:lang w:eastAsia="ru-RU"/>
              </w:rPr>
              <w:t xml:space="preserve">- применять формы, методы, приемы  осуществления учебной и воспитательной деятельности обучающихся в соответствии с требованиями  федеральных государственных образовательных стандартов;</w:t>
            </w:r>
            <w:r/>
          </w:p>
          <w:p>
            <w:pPr>
              <w:pStyle w:val="603"/>
              <w:jc w:val="both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владеть:</w:t>
            </w:r>
            <w:r/>
          </w:p>
          <w:p>
            <w:pPr>
              <w:pStyle w:val="603"/>
              <w:jc w:val="both"/>
            </w:pPr>
            <w:r>
              <w:rPr>
                <w:bCs/>
                <w:sz w:val="20"/>
                <w:szCs w:val="20"/>
                <w:lang w:eastAsia="ru-RU"/>
              </w:rPr>
              <w:t xml:space="preserve">- опытом организации учебной и воспитательной деятельности обучающихся в соответствии с требованиями федеральных государственных образовательных стандартов; </w:t>
            </w:r>
            <w:r/>
          </w:p>
          <w:p>
            <w:pPr>
              <w:pStyle w:val="603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  <w:lang w:eastAsia="ru-RU"/>
              </w:rPr>
              <w:t xml:space="preserve">- опытом применения форм, методов и приемов осуществления учебной и воспитательной деятельности в соответствии с требованиями федеральных государственных образовательных стандартов.</w:t>
            </w:r>
            <w:r/>
          </w:p>
        </w:tc>
      </w:tr>
      <w:tr>
        <w:trPr/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603"/>
              <w:jc w:val="center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ПК-1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647"/>
              <w:ind w:firstLine="0"/>
              <w:jc w:val="both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Способен осуществлять преподавание  по программам  профессионального обучения, среднего профессионального образования (СПО)  и дополнительным профессиональным программам ориентированным на соответствующий уровень квалификации   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6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ПК.1.1. Совместно с обучающимися проектирует комплекс учебно- профессиональных целей и задач</w:t>
            </w:r>
            <w:r/>
          </w:p>
          <w:p>
            <w:pPr>
              <w:pStyle w:val="6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ПК.1.2. Определяет содержание и технологию профессионально-педагогической деятельности</w:t>
            </w:r>
            <w:r/>
          </w:p>
          <w:p>
            <w:pPr>
              <w:pStyle w:val="6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3659" w:type="dxa"/>
            <w:textDirection w:val="lrTb"/>
            <w:noWrap w:val="false"/>
          </w:tcPr>
          <w:p>
            <w:pPr>
              <w:pStyle w:val="603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знать:</w:t>
            </w:r>
            <w:r/>
          </w:p>
          <w:p>
            <w:pPr>
              <w:pStyle w:val="603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- сущность, содержание и технологию осуществления профессионально-педагогической деятельности; </w:t>
            </w:r>
            <w:r/>
          </w:p>
          <w:p>
            <w:pPr>
              <w:pStyle w:val="603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- этапы проектирования и организации процесса профессионально-педагогической деятельности  по подготовке </w:t>
            </w:r>
            <w:r>
              <w:rPr>
                <w:sz w:val="20"/>
                <w:szCs w:val="20"/>
              </w:rPr>
              <w:t xml:space="preserve">рабочих, служащих и специалистов среднего звена;</w:t>
            </w:r>
            <w:r/>
          </w:p>
          <w:p>
            <w:pPr>
              <w:pStyle w:val="603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уметь: </w:t>
            </w:r>
            <w:r/>
          </w:p>
          <w:p>
            <w:pPr>
              <w:pStyle w:val="603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- определять содержание и технологию осуществления профессионально-педагогической деятельности;</w:t>
            </w:r>
            <w:r/>
          </w:p>
          <w:p>
            <w:pPr>
              <w:pStyle w:val="603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- проектировать и организовывать процесс </w:t>
            </w:r>
            <w:r>
              <w:rPr>
                <w:sz w:val="20"/>
                <w:szCs w:val="20"/>
              </w:rPr>
              <w:t xml:space="preserve">профессионально-педагогической деятельности по подготовке рабочих, служащих и специалистов среднего звена;</w:t>
            </w:r>
            <w:r/>
          </w:p>
          <w:p>
            <w:pPr>
              <w:pStyle w:val="603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владеть:</w:t>
            </w:r>
            <w:r/>
          </w:p>
          <w:p>
            <w:pPr>
              <w:pStyle w:val="603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- опытом определения содержания и технологии осуществления профессионально-педагогической деятельности; </w:t>
            </w:r>
            <w:r/>
          </w:p>
          <w:p>
            <w:pPr>
              <w:pStyle w:val="603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  <w:lang w:eastAsia="ru-RU"/>
              </w:rPr>
              <w:t xml:space="preserve">- опытом проектирования и организации процесса </w:t>
            </w:r>
            <w:r>
              <w:rPr>
                <w:sz w:val="20"/>
                <w:szCs w:val="20"/>
              </w:rPr>
              <w:t xml:space="preserve">профессионально-педагогической деятельности по подготовке рабочих, служащих и специалистов среднего звена.</w:t>
            </w:r>
            <w:r/>
          </w:p>
        </w:tc>
      </w:tr>
      <w:tr>
        <w:trPr/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603"/>
              <w:jc w:val="center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ПК-2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126" w:type="dxa"/>
            <w:textDirection w:val="lrTb"/>
            <w:noWrap w:val="false"/>
          </w:tcPr>
          <w:p>
            <w:pPr>
              <w:pStyle w:val="647"/>
              <w:ind w:firstLine="0"/>
              <w:jc w:val="both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Способен организовать и проводить учебно-производственный процесс при реализации образовательных программ различного уровня и направленности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6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ПК.2.1. Разрабатывает и реализует учебно-производственный (профессиональный) процесс обучающихся</w:t>
            </w:r>
            <w:r/>
          </w:p>
          <w:p>
            <w:pPr>
              <w:pStyle w:val="6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ПК.2.2. Использует передовые отраслевые технологии в процессе обучения рабочих, служащих и специалистов среднего звена</w:t>
            </w:r>
            <w:r/>
          </w:p>
          <w:p>
            <w:pPr>
              <w:pStyle w:val="6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ПК.2.3. Создает необходимые условия для осуществления профессиональо-педагогической деятельности.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3659" w:type="dxa"/>
            <w:textDirection w:val="lrTb"/>
            <w:noWrap w:val="false"/>
          </w:tcPr>
          <w:p>
            <w:pPr>
              <w:pStyle w:val="603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знать:</w:t>
            </w:r>
            <w:r/>
          </w:p>
          <w:p>
            <w:pPr>
              <w:pStyle w:val="603"/>
              <w:jc w:val="both"/>
            </w:pPr>
            <w:r>
              <w:rPr>
                <w:sz w:val="20"/>
                <w:szCs w:val="20"/>
                <w:lang w:eastAsia="ru-RU"/>
              </w:rPr>
              <w:t xml:space="preserve">- </w:t>
            </w:r>
            <w:r>
              <w:rPr>
                <w:sz w:val="20"/>
                <w:szCs w:val="20"/>
              </w:rPr>
              <w:t xml:space="preserve">передовые отраслевые технологии в процессе обучения рабочих, служащих и специалистов среднего звена;</w:t>
            </w:r>
            <w:r/>
          </w:p>
          <w:p>
            <w:pPr>
              <w:pStyle w:val="603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-  необходимые условия для осуществления профессионально-педагогической деятельности;</w:t>
            </w:r>
            <w:r/>
          </w:p>
          <w:p>
            <w:pPr>
              <w:pStyle w:val="603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уметь: </w:t>
            </w:r>
            <w:r/>
          </w:p>
          <w:p>
            <w:pPr>
              <w:pStyle w:val="603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</w:pPr>
            <w:r>
              <w:rPr>
                <w:sz w:val="20"/>
                <w:szCs w:val="20"/>
                <w:lang w:eastAsia="ru-RU"/>
              </w:rPr>
              <w:t xml:space="preserve">- использовать передовые отраслевые технологии</w:t>
            </w:r>
            <w:r>
              <w:rPr>
                <w:sz w:val="20"/>
                <w:szCs w:val="20"/>
              </w:rPr>
              <w:t xml:space="preserve"> в процессе обучения рабочих, служащих и специалистов среднего звена;</w:t>
            </w:r>
            <w:r/>
          </w:p>
          <w:p>
            <w:pPr>
              <w:pStyle w:val="603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 xml:space="preserve">- определять необходимые условия для осуществления профессионально-педагогической деятельности;</w:t>
            </w:r>
            <w:r/>
          </w:p>
          <w:p>
            <w:pPr>
              <w:pStyle w:val="603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  <w:lang w:eastAsia="ru-RU"/>
              </w:rPr>
              <w:t xml:space="preserve">владеть:</w:t>
            </w:r>
            <w:r/>
          </w:p>
          <w:p>
            <w:pPr>
              <w:pStyle w:val="603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</w:pPr>
            <w:r>
              <w:rPr>
                <w:sz w:val="20"/>
                <w:szCs w:val="20"/>
                <w:lang w:eastAsia="ru-RU"/>
              </w:rPr>
              <w:t xml:space="preserve">- опытом использования </w:t>
            </w:r>
            <w:r>
              <w:rPr>
                <w:sz w:val="20"/>
                <w:szCs w:val="20"/>
              </w:rPr>
              <w:t xml:space="preserve">передовых отраслевых технологий в процессе обучения рабочих, служащих и специалистов среднего звена; </w:t>
            </w:r>
            <w:r/>
          </w:p>
          <w:p>
            <w:pPr>
              <w:pStyle w:val="603"/>
              <w:jc w:val="both"/>
              <w:tabs>
                <w:tab w:val="left" w:pos="0" w:leader="none"/>
                <w:tab w:val="left" w:pos="284" w:leader="none"/>
                <w:tab w:val="clear" w:pos="708" w:leader="none"/>
                <w:tab w:val="right" w:pos="9639" w:leader="underscore"/>
              </w:tabs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опытом создания необходимых условий для осуществления профессионально-педагогической деятельности.</w:t>
            </w:r>
            <w:r/>
          </w:p>
        </w:tc>
      </w:tr>
    </w:tbl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/>
          <w:bCs/>
        </w:rPr>
      </w:pPr>
      <w:r>
        <w:rPr>
          <w:b/>
          <w:bCs/>
        </w:rPr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Место производственной (методической, проектной) практики в структуре ОПОП бакалавриата 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(методическая, проектная) практика является составной частью учебного процесса студентов  бакалавриата  по направлению подготовки 44.03.04 «Профессиональное обучение (по отраслям)» и  входит в  блок Б2.П «Производственная практика». 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Тип произво</w:t>
      </w:r>
      <w:r>
        <w:rPr>
          <w:sz w:val="28"/>
          <w:szCs w:val="28"/>
        </w:rPr>
        <w:t xml:space="preserve">дственной практики «Практика по получению профессиональных умений и опыта профессиональной деятельности» в учебном плане обозначается как «Производственная (выбранный вид деятельности) практика» или «Производственная практика (выбранный вид деятельности)».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практика базируется на учебных дисциплинах: Введение в профессионально-педагогиче</w:t>
      </w:r>
      <w:r>
        <w:rPr>
          <w:bCs/>
          <w:sz w:val="28"/>
          <w:szCs w:val="28"/>
        </w:rPr>
        <w:t xml:space="preserve">скую деятельность, Общая и профессиональная педагогика, Методика профессионального обучения, Научно-исследовательская деятельность в профессиональном образовании, Педагогические коммуникации, Психолого-педагогическая диагностика, Педагогические технологии.</w:t>
      </w:r>
      <w:r/>
    </w:p>
    <w:p>
      <w:pPr>
        <w:pStyle w:val="603"/>
        <w:ind w:firstLine="709"/>
        <w:jc w:val="both"/>
        <w:tabs>
          <w:tab w:val="clear" w:pos="708" w:leader="none"/>
          <w:tab w:val="right" w:pos="9356" w:leader="underscor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pStyle w:val="603"/>
        <w:ind w:firstLine="709"/>
        <w:jc w:val="both"/>
        <w:tabs>
          <w:tab w:val="clear" w:pos="708" w:leader="none"/>
          <w:tab w:val="right" w:pos="9356" w:leader="underscore"/>
        </w:tabs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Формы и способы проведения производственной (методической, проектной) практики </w:t>
      </w:r>
      <w:r/>
    </w:p>
    <w:p>
      <w:pPr>
        <w:pStyle w:val="603"/>
        <w:ind w:firstLine="709"/>
        <w:jc w:val="both"/>
        <w:tabs>
          <w:tab w:val="left" w:pos="708" w:leader="none"/>
        </w:tabs>
      </w:pPr>
      <w:r>
        <w:rPr>
          <w:bCs/>
          <w:sz w:val="28"/>
          <w:szCs w:val="28"/>
        </w:rPr>
        <w:t xml:space="preserve">Производственная (методическая, проектная) практика </w:t>
      </w:r>
      <w:r>
        <w:rPr>
          <w:sz w:val="28"/>
          <w:szCs w:val="28"/>
        </w:rPr>
        <w:t xml:space="preserve">осуществляется дискретно по видам практик в соответствии с учебным процессом. </w:t>
      </w:r>
      <w:r/>
    </w:p>
    <w:p>
      <w:pPr>
        <w:pStyle w:val="603"/>
        <w:ind w:firstLine="709"/>
        <w:jc w:val="both"/>
        <w:tabs>
          <w:tab w:val="left" w:pos="708" w:leader="none"/>
          <w:tab w:val="right" w:pos="9639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Способ проведения практик – стационарный, выездной. Практика может проходить в структурном подразделении университета на кафедре профессионального образования и управления образовательными системами.</w:t>
      </w:r>
      <w:r/>
    </w:p>
    <w:p>
      <w:pPr>
        <w:pStyle w:val="603"/>
        <w:ind w:firstLine="709"/>
        <w:jc w:val="both"/>
        <w:tabs>
          <w:tab w:val="left" w:pos="708" w:leader="none"/>
          <w:tab w:val="right" w:pos="9639" w:leader="underscore"/>
        </w:tabs>
      </w:pPr>
      <w:r>
        <w:rPr>
          <w:bCs/>
          <w:sz w:val="28"/>
          <w:szCs w:val="28"/>
        </w:rPr>
        <w:t xml:space="preserve">Производственная (методическая, проектная) практика может быть осуществлена в следующих формах проведения: </w:t>
      </w:r>
      <w:r/>
    </w:p>
    <w:p>
      <w:pPr>
        <w:pStyle w:val="603"/>
        <w:ind w:firstLine="709"/>
        <w:jc w:val="both"/>
        <w:tabs>
          <w:tab w:val="left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стажировка;</w:t>
      </w:r>
      <w:r/>
    </w:p>
    <w:p>
      <w:pPr>
        <w:pStyle w:val="603"/>
        <w:ind w:firstLine="709"/>
        <w:jc w:val="both"/>
        <w:tabs>
          <w:tab w:val="left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проведение практических занятий по определённым темам учебных дисциплин;</w:t>
      </w:r>
      <w:r/>
    </w:p>
    <w:p>
      <w:pPr>
        <w:pStyle w:val="603"/>
        <w:ind w:firstLine="709"/>
        <w:jc w:val="both"/>
        <w:tabs>
          <w:tab w:val="left" w:pos="708" w:leader="none"/>
          <w:tab w:val="right" w:pos="9639" w:leader="underscore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- проведение пробных лекций, связанных с содержанием производственной практики.</w:t>
      </w:r>
      <w:r/>
    </w:p>
    <w:p>
      <w:pPr>
        <w:pStyle w:val="603"/>
        <w:ind w:firstLine="709"/>
        <w:jc w:val="both"/>
        <w:tabs>
          <w:tab w:val="clear" w:pos="708" w:leader="none"/>
          <w:tab w:val="right" w:pos="9356" w:leader="underscor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/>
    </w:p>
    <w:p>
      <w:pPr>
        <w:pStyle w:val="603"/>
        <w:ind w:firstLine="709"/>
        <w:jc w:val="both"/>
        <w:tabs>
          <w:tab w:val="clear" w:pos="708" w:leader="none"/>
          <w:tab w:val="right" w:pos="9356" w:leader="underscore"/>
        </w:tabs>
        <w:rPr>
          <w:bCs/>
        </w:rPr>
      </w:pPr>
      <w:r>
        <w:rPr>
          <w:b/>
          <w:bCs/>
          <w:sz w:val="28"/>
          <w:szCs w:val="28"/>
        </w:rPr>
        <w:t xml:space="preserve">5. Место и время проведения учебной производственной (методической, проектной) практики</w:t>
      </w:r>
      <w:r/>
    </w:p>
    <w:p>
      <w:pPr>
        <w:pStyle w:val="603"/>
        <w:ind w:firstLine="709"/>
        <w:jc w:val="both"/>
      </w:pPr>
      <w:r>
        <w:rPr>
          <w:bCs/>
          <w:sz w:val="28"/>
          <w:szCs w:val="28"/>
        </w:rPr>
        <w:t xml:space="preserve">Производственная (методическая, проектная) практика проводится на 4 курсе в первом и во втором семестре, в течение 8 недель согласно графику учебного процесса.</w:t>
      </w:r>
      <w:r/>
    </w:p>
    <w:p>
      <w:pPr>
        <w:pStyle w:val="603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Производственная (методическая, проектная) практика  может быть проведена на базе: структурные подразделения НГПУ им. К.Минина, техникумов, колледжей, дополнительных образовательных организациях, а также </w:t>
      </w:r>
      <w:r>
        <w:rPr>
          <w:bCs/>
          <w:sz w:val="28"/>
          <w:szCs w:val="28"/>
          <w:lang w:eastAsia="ru-RU"/>
        </w:rPr>
        <w:t xml:space="preserve">на п</w:t>
      </w:r>
      <w:r>
        <w:rPr>
          <w:bCs/>
          <w:iCs/>
          <w:spacing w:val="-3"/>
          <w:sz w:val="28"/>
          <w:szCs w:val="28"/>
        </w:rPr>
        <w:t xml:space="preserve">редприятиях и организациях социальной и коммерческой сферы в соответствии с профилем подготовки.</w:t>
      </w:r>
      <w:r/>
    </w:p>
    <w:p>
      <w:pPr>
        <w:pStyle w:val="603"/>
        <w:ind w:firstLine="725"/>
        <w:jc w:val="both"/>
        <w:shd w:val="clear" w:fill="FFFFFF" w:color="auto"/>
        <w:rPr>
          <w:sz w:val="28"/>
          <w:szCs w:val="28"/>
        </w:rPr>
      </w:pPr>
      <w:r>
        <w:rPr>
          <w:sz w:val="28"/>
          <w:szCs w:val="28"/>
        </w:rPr>
        <w:t xml:space="preserve">Выбор мест прохождения практик для лиц с ограниченными воз</w:t>
      </w:r>
      <w:r>
        <w:rPr>
          <w:sz w:val="28"/>
          <w:szCs w:val="28"/>
        </w:rPr>
        <w:t xml:space="preserve">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 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i/>
          <w:sz w:val="28"/>
          <w:szCs w:val="28"/>
        </w:rPr>
      </w:pPr>
      <w:r>
        <w:rPr>
          <w:i/>
          <w:sz w:val="28"/>
          <w:szCs w:val="28"/>
        </w:rPr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</w:pPr>
      <w:r>
        <w:rPr>
          <w:b/>
          <w:bCs/>
          <w:sz w:val="28"/>
          <w:szCs w:val="28"/>
        </w:rPr>
        <w:t xml:space="preserve">6. Объём производственной (методической, проектной) практики и её продолжительность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</w:pPr>
      <w:r>
        <w:rPr>
          <w:sz w:val="28"/>
          <w:szCs w:val="28"/>
        </w:rPr>
        <w:t xml:space="preserve">Общий объём практики составляет 12 зачетных единиц.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</w:pPr>
      <w:r>
        <w:rPr>
          <w:sz w:val="28"/>
          <w:szCs w:val="28"/>
        </w:rPr>
        <w:t xml:space="preserve">Продолжительность практики 8 недель (432 часа).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 Структура и содержание производственной (методической, проектной) практики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производственной (методической, проектной) практики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</w:pPr>
      <w:r>
        <w:rPr>
          <w:bCs/>
          <w:sz w:val="28"/>
          <w:szCs w:val="28"/>
        </w:rPr>
        <w:t xml:space="preserve">Общая трудоемкость производственной практики составляет 12 зачетных единиц, 432 часа.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tbl>
      <w:tblPr>
        <w:tblW w:w="9677" w:type="dxa"/>
        <w:tblInd w:w="-153" w:type="dxa"/>
        <w:tblBorders>
          <w:left w:val="single" w:color="000000" w:sz="4" w:space="0"/>
          <w:top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15"/>
        <w:gridCol w:w="2977"/>
        <w:gridCol w:w="1134"/>
        <w:gridCol w:w="1559"/>
        <w:gridCol w:w="1134"/>
        <w:gridCol w:w="959"/>
        <w:gridCol w:w="1199"/>
      </w:tblGrid>
      <w:tr>
        <w:trPr>
          <w:trHeight w:val="855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715" w:type="dxa"/>
            <w:vAlign w:val="center"/>
            <w:vMerge w:val="restart"/>
            <w:textDirection w:val="lrTb"/>
            <w:noWrap w:val="false"/>
          </w:tcPr>
          <w:p>
            <w:pPr>
              <w:pStyle w:val="603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№</w:t>
            </w:r>
            <w:r/>
          </w:p>
          <w:p>
            <w:pPr>
              <w:pStyle w:val="603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п/п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pStyle w:val="603"/>
              <w:jc w:val="center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Разделы (этапы) практики</w:t>
            </w:r>
            <w:r/>
          </w:p>
        </w:tc>
        <w:tc>
          <w:tcPr>
            <w:gridSpan w:val="4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4786" w:type="dxa"/>
            <w:vAlign w:val="center"/>
            <w:textDirection w:val="lrTb"/>
            <w:noWrap w:val="false"/>
          </w:tcPr>
          <w:p>
            <w:pPr>
              <w:pStyle w:val="603"/>
              <w:jc w:val="center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Виды деятельности на практике, включая самостоятельную работу обучающихся и трудоемкость (в часах)*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vAlign w:val="center"/>
            <w:textDirection w:val="lrTb"/>
            <w:noWrap w:val="false"/>
          </w:tcPr>
          <w:p>
            <w:pPr>
              <w:pStyle w:val="603"/>
              <w:jc w:val="center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Формы текущего</w:t>
            </w:r>
            <w:r/>
          </w:p>
          <w:p>
            <w:pPr>
              <w:pStyle w:val="603"/>
              <w:jc w:val="center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контроля</w:t>
            </w:r>
            <w:r/>
          </w:p>
        </w:tc>
      </w:tr>
      <w:tr>
        <w:trPr>
          <w:trHeight w:val="557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715" w:type="dxa"/>
            <w:vAlign w:val="center"/>
            <w:vMerge w:val="continue"/>
            <w:textDirection w:val="lrTb"/>
            <w:noWrap w:val="false"/>
          </w:tcPr>
          <w:p>
            <w:pPr>
              <w:pStyle w:val="603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pStyle w:val="603"/>
              <w:spacing w:after="60" w:before="60"/>
              <w:tabs>
                <w:tab w:val="left" w:pos="708" w:leader="none"/>
                <w:tab w:val="right" w:pos="9639" w:leader="underscore"/>
              </w:tabs>
              <w:rPr>
                <w:bCs/>
                <w:iCs/>
              </w:rPr>
            </w:pPr>
            <w:r>
              <w:rPr>
                <w:bCs/>
                <w:i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tabs>
                <w:tab w:val="left" w:pos="708" w:leader="none"/>
                <w:tab w:val="right" w:pos="9639" w:leader="underscore"/>
              </w:tabs>
            </w:pPr>
            <w:r>
              <w:t xml:space="preserve">В организации (база практик)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3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t xml:space="preserve">Контактная работа с руководителем практики от вуза (в том числе работа в ЭОС)*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t xml:space="preserve">Самостоятельная работа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3"/>
              <w:tabs>
                <w:tab w:val="left" w:pos="708" w:leader="none"/>
                <w:tab w:val="right" w:pos="9639" w:leader="underscore"/>
              </w:tabs>
            </w:pPr>
            <w:r>
              <w:t xml:space="preserve">Общая трудоемкость в часах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3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</w:r>
            <w:r/>
          </w:p>
        </w:tc>
      </w:tr>
      <w:tr>
        <w:trPr>
          <w:trHeight w:val="316"/>
        </w:trPr>
        <w:tc>
          <w:tcPr>
            <w:gridSpan w:val="7"/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9677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1 семестр</w:t>
            </w:r>
            <w:r/>
          </w:p>
        </w:tc>
      </w:tr>
      <w:tr>
        <w:trPr>
          <w:trHeight w:val="557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715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1.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iCs/>
              </w:rPr>
            </w:pPr>
            <w:r>
              <w:rPr>
                <w:iCs/>
              </w:rPr>
              <w:t xml:space="preserve">Подготовительный этап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  <w:rPr>
                <w:iCs/>
              </w:rPr>
            </w:pPr>
            <w:r>
              <w:rPr>
                <w:i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2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50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52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3"/>
              <w:spacing w:lineRule="atLeast" w:line="23"/>
              <w:rPr>
                <w:bCs/>
              </w:rPr>
            </w:pPr>
            <w:r>
              <w:rPr>
                <w:rFonts w:eastAsia="Calibri"/>
              </w:rPr>
              <w:t xml:space="preserve">Отчет по практике</w:t>
            </w:r>
            <w:r/>
          </w:p>
        </w:tc>
      </w:tr>
      <w:tr>
        <w:trPr>
          <w:trHeight w:val="23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715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2.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Исполнительский этап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1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55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56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3"/>
              <w:spacing w:lineRule="atLeast" w:line="23"/>
              <w:rPr>
                <w:bCs/>
              </w:rPr>
            </w:pPr>
            <w:r>
              <w:rPr>
                <w:rFonts w:eastAsia="Calibri"/>
              </w:rPr>
              <w:t xml:space="preserve">Учебно-профессиональный проект</w:t>
            </w:r>
            <w:r/>
          </w:p>
        </w:tc>
      </w:tr>
      <w:tr>
        <w:trPr>
          <w:trHeight w:val="23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715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3.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Этап обработки и анализа полученной информации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2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48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50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3"/>
              <w:spacing w:lineRule="atLeast" w:line="23"/>
              <w:rPr>
                <w:bCs/>
              </w:rPr>
            </w:pPr>
            <w:r>
              <w:rPr>
                <w:rFonts w:eastAsia="Calibri"/>
              </w:rPr>
              <w:t xml:space="preserve">Отчет по практике</w:t>
            </w:r>
            <w:r/>
          </w:p>
        </w:tc>
      </w:tr>
      <w:tr>
        <w:trPr>
          <w:trHeight w:val="23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715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4.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Оценочно-результативный этап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1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57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58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3"/>
              <w:spacing w:lineRule="atLeast" w:line="23"/>
              <w:rPr>
                <w:bCs/>
              </w:rPr>
            </w:pPr>
            <w:r>
              <w:t xml:space="preserve">Собеседование</w:t>
            </w:r>
            <w:r/>
          </w:p>
        </w:tc>
      </w:tr>
      <w:tr>
        <w:trPr>
          <w:trHeight w:val="23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3692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ind w:left="-108" w:firstLine="0"/>
              <w:jc w:val="center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6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210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216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3"/>
            </w:pPr>
            <w:r/>
            <w:r/>
          </w:p>
        </w:tc>
      </w:tr>
      <w:tr>
        <w:trPr>
          <w:trHeight w:val="316"/>
        </w:trPr>
        <w:tc>
          <w:tcPr>
            <w:gridSpan w:val="7"/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9677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2 семестр</w:t>
            </w:r>
            <w:r/>
          </w:p>
        </w:tc>
      </w:tr>
      <w:tr>
        <w:trPr>
          <w:trHeight w:val="557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715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1.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iCs/>
              </w:rPr>
            </w:pPr>
            <w:r>
              <w:rPr>
                <w:iCs/>
              </w:rPr>
              <w:t xml:space="preserve">Подготовительный этап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  <w:rPr>
                <w:iCs/>
              </w:rPr>
            </w:pPr>
            <w:r>
              <w:rPr>
                <w:i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2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50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52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3"/>
              <w:spacing w:lineRule="atLeast" w:line="23"/>
              <w:rPr>
                <w:bCs/>
              </w:rPr>
            </w:pPr>
            <w:r>
              <w:rPr>
                <w:rFonts w:eastAsia="Calibri"/>
              </w:rPr>
              <w:t xml:space="preserve">Отчет по практике</w:t>
            </w:r>
            <w:r/>
          </w:p>
        </w:tc>
      </w:tr>
      <w:tr>
        <w:trPr>
          <w:trHeight w:val="23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715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2.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Исполнительский этап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1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55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56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3"/>
              <w:spacing w:lineRule="atLeast" w:line="23"/>
              <w:rPr>
                <w:bCs/>
              </w:rPr>
            </w:pPr>
            <w:r>
              <w:rPr>
                <w:rFonts w:eastAsia="Calibri"/>
              </w:rPr>
              <w:t xml:space="preserve">Учебно-профессиональный проект</w:t>
            </w:r>
            <w:r/>
          </w:p>
        </w:tc>
      </w:tr>
      <w:tr>
        <w:trPr>
          <w:trHeight w:val="23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715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3.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Этап обработки и анализа полученной информации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2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48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50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3"/>
              <w:spacing w:lineRule="atLeast" w:line="23"/>
              <w:rPr>
                <w:bCs/>
              </w:rPr>
            </w:pPr>
            <w:r>
              <w:rPr>
                <w:rFonts w:eastAsia="Calibri"/>
              </w:rPr>
              <w:t xml:space="preserve">Отчет по практике</w:t>
            </w:r>
            <w:r/>
          </w:p>
        </w:tc>
      </w:tr>
      <w:tr>
        <w:trPr>
          <w:trHeight w:val="23"/>
        </w:trPr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715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4.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2977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Оценочно-результативный этап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1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57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58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3"/>
              <w:spacing w:lineRule="atLeast" w:line="23"/>
              <w:rPr>
                <w:bCs/>
              </w:rPr>
            </w:pPr>
            <w:r>
              <w:t xml:space="preserve">Собеседование</w:t>
            </w:r>
            <w:r/>
          </w:p>
        </w:tc>
      </w:tr>
      <w:tr>
        <w:trPr>
          <w:trHeight w:val="23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3692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ind w:left="-108" w:firstLine="0"/>
              <w:jc w:val="center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6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210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216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3"/>
            </w:pPr>
            <w:r/>
            <w:r/>
          </w:p>
        </w:tc>
      </w:tr>
      <w:tr>
        <w:trPr>
          <w:trHeight w:val="23"/>
        </w:trPr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3692" w:type="dxa"/>
            <w:textDirection w:val="lrTb"/>
            <w:noWrap w:val="false"/>
          </w:tcPr>
          <w:p>
            <w:pPr>
              <w:pStyle w:val="603"/>
              <w:jc w:val="center"/>
              <w:spacing w:lineRule="auto" w:line="276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  <w:t xml:space="preserve">Итого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ind w:left="-108" w:firstLine="0"/>
              <w:jc w:val="center"/>
              <w:tabs>
                <w:tab w:val="left" w:pos="708" w:leader="none"/>
                <w:tab w:val="right" w:pos="9639" w:leader="underscore"/>
              </w:tabs>
              <w:rPr>
                <w:bCs/>
              </w:rPr>
            </w:pPr>
            <w:r>
              <w:rPr>
                <w:bCs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12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420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959" w:type="dxa"/>
            <w:textDirection w:val="lrTb"/>
            <w:noWrap w:val="false"/>
          </w:tcPr>
          <w:p>
            <w:pPr>
              <w:pStyle w:val="603"/>
              <w:jc w:val="center"/>
            </w:pPr>
            <w:r>
              <w:t xml:space="preserve">432</w:t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1199" w:type="dxa"/>
            <w:textDirection w:val="lrTb"/>
            <w:noWrap w:val="false"/>
          </w:tcPr>
          <w:p>
            <w:pPr>
              <w:pStyle w:val="603"/>
            </w:pPr>
            <w:r/>
            <w:r/>
          </w:p>
        </w:tc>
      </w:tr>
    </w:tbl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rStyle w:val="635"/>
          <w:sz w:val="28"/>
          <w:szCs w:val="28"/>
        </w:rPr>
      </w:pPr>
      <w:r>
        <w:rPr>
          <w:bCs/>
          <w:sz w:val="28"/>
          <w:szCs w:val="28"/>
        </w:rPr>
        <w:t xml:space="preserve">Подготовительный этап:</w:t>
      </w:r>
      <w:r/>
    </w:p>
    <w:p>
      <w:pPr>
        <w:pStyle w:val="603"/>
        <w:ind w:firstLine="709"/>
        <w:jc w:val="both"/>
        <w:tabs>
          <w:tab w:val="clear" w:pos="708" w:leader="none"/>
          <w:tab w:val="right" w:pos="9639" w:leader="underscore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изучение организационной структуры профессиональной образовательной организации  – базы практики;</w:t>
      </w:r>
      <w:r/>
    </w:p>
    <w:p>
      <w:pPr>
        <w:pStyle w:val="603"/>
        <w:ind w:firstLine="709"/>
        <w:jc w:val="both"/>
        <w:tabs>
          <w:tab w:val="clear" w:pos="708" w:leader="none"/>
          <w:tab w:val="right" w:pos="9639" w:leader="underscore"/>
        </w:tabs>
      </w:pPr>
      <w:r>
        <w:rPr>
          <w:iCs/>
          <w:sz w:val="28"/>
          <w:szCs w:val="28"/>
        </w:rPr>
        <w:t xml:space="preserve">- изучение специальной литературы и знакомство с методической документацией базы практики;</w:t>
      </w:r>
      <w:r/>
    </w:p>
    <w:p>
      <w:pPr>
        <w:pStyle w:val="603"/>
        <w:ind w:firstLine="720"/>
        <w:jc w:val="both"/>
      </w:pPr>
      <w:r>
        <w:rPr>
          <w:sz w:val="28"/>
          <w:szCs w:val="28"/>
          <w:lang w:eastAsia="ru-RU"/>
        </w:rPr>
        <w:t xml:space="preserve">- изучение направлений профессиональной деятельности структурных подразделений организации;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rStyle w:val="635"/>
          <w:sz w:val="28"/>
          <w:szCs w:val="28"/>
        </w:rPr>
      </w:pPr>
      <w:r>
        <w:rPr>
          <w:bCs/>
          <w:sz w:val="28"/>
          <w:szCs w:val="28"/>
        </w:rPr>
        <w:t xml:space="preserve">Исполнительский этап: 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</w:pPr>
      <w:r>
        <w:rPr>
          <w:rStyle w:val="635"/>
          <w:sz w:val="28"/>
          <w:szCs w:val="28"/>
        </w:rPr>
        <w:t xml:space="preserve">- рассмотрение этапов осуществления методической деятельности в </w:t>
      </w:r>
      <w:r>
        <w:rPr>
          <w:rStyle w:val="637"/>
          <w:sz w:val="28"/>
          <w:szCs w:val="28"/>
        </w:rPr>
        <w:t xml:space="preserve">профессиональных образовательных</w:t>
      </w:r>
      <w:r>
        <w:rPr>
          <w:rStyle w:val="635"/>
          <w:sz w:val="28"/>
          <w:szCs w:val="28"/>
        </w:rPr>
        <w:t xml:space="preserve"> организациях; 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rStyle w:val="635"/>
          <w:sz w:val="28"/>
          <w:szCs w:val="28"/>
        </w:rPr>
      </w:pPr>
      <w:r>
        <w:rPr>
          <w:rStyle w:val="635"/>
          <w:sz w:val="28"/>
          <w:szCs w:val="28"/>
        </w:rPr>
        <w:t xml:space="preserve">- проведение анализа учебных занятий в профессиональных образовательных организациях; 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rStyle w:val="635"/>
          <w:sz w:val="28"/>
          <w:szCs w:val="28"/>
        </w:rPr>
      </w:pPr>
      <w:r>
        <w:rPr>
          <w:rStyle w:val="635"/>
          <w:sz w:val="28"/>
          <w:szCs w:val="28"/>
        </w:rPr>
        <w:t xml:space="preserve">- и</w:t>
      </w:r>
      <w:r>
        <w:rPr>
          <w:rStyle w:val="637"/>
          <w:sz w:val="28"/>
          <w:szCs w:val="28"/>
        </w:rPr>
        <w:t xml:space="preserve">зучение личностно </w:t>
      </w:r>
      <w:r>
        <w:rPr>
          <w:rStyle w:val="635"/>
          <w:sz w:val="28"/>
          <w:szCs w:val="28"/>
        </w:rPr>
        <w:t xml:space="preserve">ориентированных технологий и методик обучения в профессиональных образовательных организациях;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выделение проблем профессионального образования в области учебно-профессиональной, социально-воспитательной, учебно-производственной деятельности;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Этап обработки и анализа полученной информации: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Разработка программ исследования учебно-профессиональной, социально-воспитательной, учебно-производственной деятельности; 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</w:pPr>
      <w:r>
        <w:rPr>
          <w:bCs/>
          <w:sz w:val="28"/>
          <w:szCs w:val="28"/>
        </w:rPr>
        <w:t xml:space="preserve">- п</w:t>
      </w:r>
      <w:r>
        <w:rPr>
          <w:rStyle w:val="635"/>
          <w:sz w:val="28"/>
          <w:szCs w:val="28"/>
        </w:rPr>
        <w:t xml:space="preserve">роектирование содержания учебного материала по общепрофессиональной и профессиональной подготовке рабочих и специалистов среднего звена;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</w:pPr>
      <w:r>
        <w:rPr>
          <w:rStyle w:val="635"/>
          <w:sz w:val="28"/>
          <w:szCs w:val="28"/>
        </w:rPr>
        <w:t xml:space="preserve">- р</w:t>
      </w:r>
      <w:r>
        <w:rPr>
          <w:sz w:val="28"/>
          <w:szCs w:val="28"/>
          <w:lang w:eastAsia="ru-RU"/>
        </w:rPr>
        <w:t xml:space="preserve">азработка учебных, учебно-профессиональных, социально-воспитательных проектов. 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i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 xml:space="preserve">Оценочно-результативный этап: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-оформление дневника практики;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-систематизация выводов;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-подготовка отчета  и презентации результатов практики.</w:t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</w:r>
      <w:r/>
    </w:p>
    <w:p>
      <w:pPr>
        <w:pStyle w:val="603"/>
        <w:ind w:firstLine="709"/>
        <w:jc w:val="both"/>
        <w:tabs>
          <w:tab w:val="left" w:pos="284" w:leader="none"/>
          <w:tab w:val="clear" w:pos="708" w:leader="none"/>
          <w:tab w:val="left" w:pos="1134" w:leader="none"/>
          <w:tab w:val="right" w:pos="9639" w:leader="underscore"/>
        </w:tabs>
        <w:rPr>
          <w:bCs/>
        </w:rPr>
      </w:pPr>
      <w:r>
        <w:rPr>
          <w:b/>
          <w:bCs/>
          <w:sz w:val="28"/>
          <w:szCs w:val="28"/>
        </w:rPr>
        <w:t xml:space="preserve">8. Методы и технологии, используемые на производственной (методической, проектной)  практике</w:t>
      </w:r>
      <w:r/>
    </w:p>
    <w:p>
      <w:pPr>
        <w:pStyle w:val="603"/>
        <w:ind w:firstLine="709"/>
        <w:jc w:val="both"/>
      </w:pPr>
      <w:r>
        <w:rPr>
          <w:sz w:val="28"/>
          <w:szCs w:val="28"/>
        </w:rPr>
        <w:t xml:space="preserve">В период практики студенты выполняют программу практики. Во время </w:t>
      </w:r>
      <w:r>
        <w:rPr>
          <w:sz w:val="28"/>
          <w:szCs w:val="28"/>
          <w:lang w:eastAsia="ru-RU"/>
        </w:rPr>
        <w:t xml:space="preserve">практики ведут дневник практики, готовят конспекты, осуществляют индивидуальное планирование, готовят аналитические справки и характеристики и пр. (в соответствии с содержанием программы практики).</w:t>
      </w:r>
      <w:r>
        <w:rPr>
          <w:sz w:val="28"/>
          <w:szCs w:val="28"/>
        </w:rPr>
        <w:t xml:space="preserve"> Руководитель практики проводит консультации, осуществляют контроль за своевременностью выполнения заданий. </w:t>
      </w:r>
      <w:r/>
    </w:p>
    <w:p>
      <w:pPr>
        <w:pStyle w:val="60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заключительном этапе практики анализируются студенческие отчеты, по</w:t>
      </w:r>
      <w:r>
        <w:rPr>
          <w:sz w:val="28"/>
          <w:szCs w:val="28"/>
        </w:rPr>
        <w:t xml:space="preserve">дводятся итоги практики (на основе анализа характеристик с мест прохождения практики и отчетной документации студента). Промежуточная аттестация осуществляется на основе результатов текущего контроля и отчета студентов на итоговой конференции по практике. </w:t>
      </w:r>
      <w:r/>
    </w:p>
    <w:p>
      <w:pPr>
        <w:pStyle w:val="603"/>
        <w:jc w:val="both"/>
        <w:tabs>
          <w:tab w:val="left" w:pos="0" w:leader="none"/>
          <w:tab w:val="clear" w:pos="708" w:leader="none"/>
          <w:tab w:val="right" w:pos="9639" w:leader="underscor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/>
    </w:p>
    <w:p>
      <w:pPr>
        <w:pStyle w:val="603"/>
        <w:ind w:firstLine="709"/>
        <w:jc w:val="both"/>
        <w:tabs>
          <w:tab w:val="left" w:pos="0" w:leader="none"/>
          <w:tab w:val="clear" w:pos="708" w:leader="none"/>
          <w:tab w:val="right" w:pos="9639" w:leader="underscore"/>
        </w:tabs>
      </w:pPr>
      <w:r>
        <w:rPr>
          <w:b/>
          <w:bCs/>
          <w:sz w:val="28"/>
          <w:szCs w:val="28"/>
        </w:rPr>
        <w:t xml:space="preserve">9. Формы отчётности по итогам производственной (методической, проектной) практики </w:t>
      </w:r>
      <w:r/>
    </w:p>
    <w:p>
      <w:pPr>
        <w:pStyle w:val="603"/>
        <w:ind w:firstLine="709"/>
        <w:jc w:val="both"/>
        <w:tabs>
          <w:tab w:val="left" w:pos="0" w:leader="none"/>
          <w:tab w:val="clear" w:pos="708" w:leader="none"/>
          <w:tab w:val="right" w:pos="9639" w:leader="underscore"/>
        </w:tabs>
        <w:rPr>
          <w:b/>
          <w:bCs/>
          <w:sz w:val="22"/>
          <w:szCs w:val="22"/>
        </w:rPr>
      </w:pPr>
      <w:r>
        <w:rPr>
          <w:sz w:val="28"/>
          <w:szCs w:val="28"/>
        </w:rPr>
        <w:t xml:space="preserve">Формы отчетности по итогам производственной (методической, проектной) практики включают </w:t>
      </w:r>
      <w:r>
        <w:rPr>
          <w:bCs/>
          <w:sz w:val="28"/>
          <w:szCs w:val="28"/>
        </w:rPr>
        <w:t xml:space="preserve">дневник по практике, отчет по практике.</w:t>
      </w:r>
      <w:r/>
    </w:p>
    <w:p>
      <w:pPr>
        <w:pStyle w:val="603"/>
        <w:ind w:firstLine="567"/>
        <w:jc w:val="both"/>
        <w:tabs>
          <w:tab w:val="left" w:pos="0" w:leader="none"/>
          <w:tab w:val="clear" w:pos="708" w:leader="none"/>
          <w:tab w:val="right" w:pos="9639" w:leader="underscore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  <w:r/>
    </w:p>
    <w:p>
      <w:pPr>
        <w:pStyle w:val="603"/>
        <w:ind w:firstLine="709"/>
        <w:jc w:val="both"/>
        <w:tabs>
          <w:tab w:val="left" w:pos="0" w:leader="none"/>
          <w:tab w:val="clear" w:pos="708" w:leader="none"/>
          <w:tab w:val="right" w:pos="9639" w:leader="underscore"/>
        </w:tabs>
      </w:pPr>
      <w:r>
        <w:rPr>
          <w:b/>
          <w:bCs/>
          <w:sz w:val="28"/>
          <w:szCs w:val="28"/>
        </w:rPr>
        <w:t xml:space="preserve">10. Формы текущего контроля успеваемости и промежуточной аттестации обучающихся по итогам производственной (методической, проектной) практики</w:t>
      </w:r>
      <w:r/>
    </w:p>
    <w:p>
      <w:pPr>
        <w:pStyle w:val="603"/>
        <w:ind w:firstLine="709"/>
        <w:jc w:val="both"/>
        <w:tabs>
          <w:tab w:val="left" w:pos="0" w:leader="none"/>
          <w:tab w:val="clear" w:pos="708" w:leader="none"/>
          <w:tab w:val="left" w:pos="851" w:leader="none"/>
          <w:tab w:val="right" w:pos="9639" w:leader="underscor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10.1. Формы текущего контроля успеваемости и промежуточной аттестацииобучающихся</w:t>
      </w:r>
      <w:r/>
    </w:p>
    <w:p>
      <w:pPr>
        <w:pStyle w:val="60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обучающихся.</w:t>
      </w:r>
      <w:r/>
    </w:p>
    <w:p>
      <w:pPr>
        <w:pStyle w:val="603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двухнедельный ср</w:t>
      </w:r>
      <w:r>
        <w:rPr>
          <w:bCs/>
          <w:sz w:val="28"/>
          <w:szCs w:val="28"/>
        </w:rPr>
        <w:t xml:space="preserve">ок по окончании практики, студе нт представляет отчет о ее прохождении на кафедру. В назначенный заседанием кафедры срок, студент должен быть готов к защите итогов прохождения практики перед преподавателем кафедры – руководителем практики от университета. </w:t>
      </w:r>
      <w:r/>
    </w:p>
    <w:p>
      <w:pPr>
        <w:pStyle w:val="603"/>
        <w:ind w:firstLine="709"/>
        <w:jc w:val="both"/>
      </w:pPr>
      <w:r>
        <w:rPr>
          <w:sz w:val="28"/>
          <w:szCs w:val="28"/>
        </w:rPr>
        <w:t xml:space="preserve">Форма промежуточной аттестации – зачет с оценкой</w:t>
      </w:r>
      <w:r>
        <w:rPr>
          <w:i/>
          <w:sz w:val="22"/>
          <w:szCs w:val="22"/>
        </w:rPr>
        <w:t xml:space="preserve">.</w:t>
      </w:r>
      <w:r/>
    </w:p>
    <w:p>
      <w:pPr>
        <w:pStyle w:val="603"/>
        <w:jc w:val="both"/>
        <w:tabs>
          <w:tab w:val="left" w:pos="142" w:leader="none"/>
          <w:tab w:val="left" w:pos="284" w:leader="none"/>
          <w:tab w:val="clear" w:pos="708" w:leader="none"/>
        </w:tabs>
        <w:rPr>
          <w:i/>
          <w:sz w:val="22"/>
          <w:szCs w:val="22"/>
        </w:rPr>
      </w:pPr>
      <w:r>
        <w:rPr>
          <w:i/>
          <w:sz w:val="22"/>
          <w:szCs w:val="22"/>
        </w:rPr>
      </w:r>
      <w:r/>
    </w:p>
    <w:p>
      <w:pPr>
        <w:pStyle w:val="603"/>
        <w:ind w:firstLine="709"/>
        <w:jc w:val="both"/>
        <w:rPr>
          <w:b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10.2. Рейтинг-план </w:t>
      </w:r>
      <w:r/>
    </w:p>
    <w:p>
      <w:pPr>
        <w:pStyle w:val="60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Рейтинг-план практики представлен в Приложении 1 к программе практики.</w:t>
      </w:r>
      <w:r/>
    </w:p>
    <w:p>
      <w:pPr>
        <w:pStyle w:val="603"/>
        <w:ind w:firstLine="567"/>
        <w:jc w:val="both"/>
        <w:rPr>
          <w:b/>
          <w:spacing w:val="-4"/>
          <w:sz w:val="16"/>
          <w:szCs w:val="16"/>
        </w:rPr>
      </w:pPr>
      <w:r>
        <w:rPr>
          <w:b/>
          <w:spacing w:val="-4"/>
          <w:sz w:val="16"/>
          <w:szCs w:val="16"/>
        </w:rPr>
      </w:r>
      <w:r/>
    </w:p>
    <w:p>
      <w:pPr>
        <w:pStyle w:val="603"/>
        <w:ind w:firstLine="567"/>
        <w:jc w:val="both"/>
      </w:pPr>
      <w:r>
        <w:rPr>
          <w:b/>
          <w:spacing w:val="-4"/>
          <w:sz w:val="28"/>
          <w:szCs w:val="28"/>
        </w:rPr>
        <w:t xml:space="preserve">10.3. </w:t>
      </w:r>
      <w:r>
        <w:rPr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практике</w:t>
      </w:r>
      <w:r/>
    </w:p>
    <w:p>
      <w:pPr>
        <w:pStyle w:val="60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Фонд оценочных средств по практике представлен в Приложении 2 к программе практики.</w:t>
      </w:r>
      <w:r/>
    </w:p>
    <w:p>
      <w:pPr>
        <w:pStyle w:val="603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Фонд оценочных средств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  <w:r/>
    </w:p>
    <w:p>
      <w:pPr>
        <w:pStyle w:val="603"/>
        <w:ind w:firstLine="851"/>
        <w:jc w:val="both"/>
        <w:tabs>
          <w:tab w:val="left" w:pos="284" w:leader="none"/>
          <w:tab w:val="clear" w:pos="708" w:leader="none"/>
          <w:tab w:val="right" w:pos="9639" w:leader="underscore"/>
        </w:tabs>
        <w:rPr>
          <w:bCs/>
          <w:sz w:val="16"/>
          <w:szCs w:val="16"/>
        </w:rPr>
      </w:pPr>
      <w:r>
        <w:rPr>
          <w:bCs/>
          <w:sz w:val="16"/>
          <w:szCs w:val="16"/>
        </w:rPr>
      </w:r>
      <w:r/>
    </w:p>
    <w:p>
      <w:pPr>
        <w:pStyle w:val="603"/>
        <w:ind w:firstLine="709"/>
        <w:jc w:val="both"/>
        <w:tabs>
          <w:tab w:val="clear" w:pos="708" w:leader="none"/>
          <w:tab w:val="right" w:pos="9356" w:leader="underscore"/>
        </w:tabs>
      </w:pPr>
      <w:r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производственной (методической, проектной) практики </w:t>
      </w:r>
      <w:r/>
    </w:p>
    <w:p>
      <w:pPr>
        <w:pStyle w:val="603"/>
        <w:ind w:firstLine="709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а) основная литература:</w:t>
      </w:r>
      <w:r/>
    </w:p>
    <w:p>
      <w:pPr>
        <w:pStyle w:val="603"/>
        <w:ind w:firstLine="709"/>
        <w:jc w:val="both"/>
      </w:pPr>
      <w:r>
        <w:rPr>
          <w:sz w:val="28"/>
          <w:szCs w:val="28"/>
        </w:rPr>
        <w:t xml:space="preserve">1. Томчикова, С.Н.</w:t>
      </w:r>
      <w:r>
        <w:rPr>
          <w:sz w:val="28"/>
          <w:szCs w:val="28"/>
        </w:rPr>
        <w:t xml:space="preserve"> Основы педагогики среднего профессионального образования: учебное пособие / С.Н. Томчикова, Л.И. Сайгушева. - 2-е изд., стер. - Москва: Издательство «Флинта», 2015. - 214 с. : табл. - Библиогр. в кн. - ISBN 978-5-9765-2343-2; [Электронный ресурс]. - URL: </w:t>
      </w:r>
      <w:hyperlink r:id="rId10" w:tooltip="http://biblioclub.ru/index.php?page=book&amp;id=482635" w:history="1">
        <w:r>
          <w:rPr>
            <w:rStyle w:val="633"/>
            <w:sz w:val="28"/>
            <w:szCs w:val="28"/>
          </w:rPr>
          <w:t xml:space="preserve">http://biblioclub.ru/index.php?page=book&amp;id=482635</w:t>
        </w:r>
      </w:hyperlink>
      <w:r>
        <w:rPr>
          <w:sz w:val="28"/>
          <w:szCs w:val="28"/>
        </w:rPr>
        <w:t xml:space="preserve">.</w:t>
      </w:r>
      <w:r/>
    </w:p>
    <w:p>
      <w:pPr>
        <w:pStyle w:val="603"/>
        <w:ind w:firstLine="709"/>
        <w:jc w:val="both"/>
      </w:pPr>
      <w:r>
        <w:rPr>
          <w:sz w:val="28"/>
          <w:szCs w:val="28"/>
        </w:rPr>
        <w:t xml:space="preserve">2. Костюк, Н.В. Педагогика профессионального образования: учебное пособие / Н.В. Костюк ; Министерство культуры Российской Федерации, Кемеровский госуда</w:t>
      </w:r>
      <w:r>
        <w:rPr>
          <w:sz w:val="28"/>
          <w:szCs w:val="28"/>
        </w:rPr>
        <w:t xml:space="preserve">рственный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 : табл. - Билиогр.: с. 114-115 - ISBN 978-5-8154-0349-9 ; [Электронный ресурс]. - URL: </w:t>
      </w:r>
      <w:hyperlink r:id="rId11" w:tooltip="http://biblioclub.ru/index.php?page=book&amp;id=472630" w:history="1">
        <w:r>
          <w:rPr>
            <w:rStyle w:val="633"/>
            <w:sz w:val="28"/>
            <w:szCs w:val="28"/>
          </w:rPr>
          <w:t xml:space="preserve">http://biblioclub.ru/index.php?page=book&amp;id=472630</w:t>
        </w:r>
      </w:hyperlink>
      <w:r>
        <w:rPr>
          <w:sz w:val="28"/>
          <w:szCs w:val="28"/>
        </w:rPr>
        <w:t xml:space="preserve">.</w:t>
      </w:r>
      <w:r/>
    </w:p>
    <w:p>
      <w:pPr>
        <w:pStyle w:val="603"/>
        <w:ind w:firstLine="709"/>
        <w:jc w:val="both"/>
      </w:pPr>
      <w:r>
        <w:rPr>
          <w:sz w:val="28"/>
          <w:szCs w:val="28"/>
        </w:rPr>
        <w:t xml:space="preserve">3. Усманов, В.В. Профессиональная педагогика: учебное пособие / В.В. Усманов, Ю.В. Слесарев, И.В. Марусева. - Москва ; Берлин : Директ-Медиа, 2017. - 295 с. : ил., схем., табл. - Библиогр. в кн. - ISBN 978-5-4475-9237-0; [Электронный ресурс]. - URL: </w:t>
      </w:r>
      <w:hyperlink r:id="rId12" w:tooltip="http://biblioclub.ru/index.php?page=book&amp;id=474292" w:history="1">
        <w:r>
          <w:rPr>
            <w:rStyle w:val="633"/>
            <w:sz w:val="28"/>
            <w:szCs w:val="28"/>
          </w:rPr>
          <w:t xml:space="preserve">http://biblioclub.ru/index.php?page=book&amp;id=474292</w:t>
        </w:r>
      </w:hyperlink>
      <w:r>
        <w:rPr>
          <w:sz w:val="28"/>
          <w:szCs w:val="28"/>
        </w:rPr>
        <w:t xml:space="preserve">.</w:t>
      </w:r>
      <w:r/>
    </w:p>
    <w:p>
      <w:pPr>
        <w:pStyle w:val="603"/>
        <w:ind w:firstLine="709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б) дополнительная литература:</w:t>
      </w:r>
      <w:r/>
    </w:p>
    <w:p>
      <w:pPr>
        <w:pStyle w:val="603"/>
        <w:ind w:firstLine="709"/>
        <w:jc w:val="both"/>
      </w:pPr>
      <w:r>
        <w:rPr>
          <w:sz w:val="28"/>
          <w:szCs w:val="28"/>
        </w:rPr>
        <w:t xml:space="preserve">1. Мандель, Б.Р. Профессионально-ориентир</w:t>
      </w:r>
      <w:r>
        <w:rPr>
          <w:sz w:val="28"/>
          <w:szCs w:val="28"/>
        </w:rPr>
        <w:t xml:space="preserve">ованное обучение: проблематика и технологии: учебное пособие для обучающихся в магистратуре / Б.Р. Мандель. - Москва ; Берлин : Директ-Медиа, 2016. - 341 с. : ил., схем., табл. - Библиогр. в кн. - ISBN 978-5-4475-7698-1; То же [Электронный ресурс]. - URL: </w:t>
      </w:r>
      <w:hyperlink r:id="rId13" w:tooltip="http://biblioclub.ru/index.php?page=book&amp;id=436766" w:history="1">
        <w:r>
          <w:rPr>
            <w:rStyle w:val="633"/>
            <w:sz w:val="28"/>
            <w:szCs w:val="28"/>
          </w:rPr>
          <w:t xml:space="preserve">http://biblioclub.ru/index.php?page=book&amp;id=436766</w:t>
        </w:r>
      </w:hyperlink>
      <w:r>
        <w:rPr>
          <w:sz w:val="28"/>
          <w:szCs w:val="28"/>
        </w:rPr>
        <w:t xml:space="preserve">. </w:t>
      </w:r>
      <w:r/>
    </w:p>
    <w:p>
      <w:pPr>
        <w:pStyle w:val="603"/>
        <w:ind w:firstLine="709"/>
        <w:jc w:val="both"/>
      </w:pPr>
      <w:r>
        <w:rPr>
          <w:sz w:val="28"/>
          <w:szCs w:val="28"/>
        </w:rPr>
        <w:t xml:space="preserve">2. Серя</w:t>
      </w:r>
      <w:r>
        <w:rPr>
          <w:sz w:val="28"/>
          <w:szCs w:val="28"/>
        </w:rPr>
        <w:t xml:space="preserve">кова, С.Б. Теория и практика дополнительного профессионального образования в России и за рубежом : учебное пособие / С.Б. Серякова, В.В. Кравченко ; под науч. ред. С.Б. Серяковой ; Министерство образования и науки Российской Федерации, Федеральное государс</w:t>
      </w:r>
      <w:r>
        <w:rPr>
          <w:sz w:val="28"/>
          <w:szCs w:val="28"/>
        </w:rPr>
        <w:t xml:space="preserve">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2016. - 212 с. : ил. - Библиогр. в кн. - ISBN 978-5-4263-0341-6; То же [Электронный ресурс]. - URL: </w:t>
      </w:r>
      <w:hyperlink r:id="rId14" w:tooltip="http://biblioclub.ru/index.php?page=book&amp;id=471231" w:history="1">
        <w:r>
          <w:rPr>
            <w:rStyle w:val="633"/>
            <w:sz w:val="28"/>
            <w:szCs w:val="28"/>
          </w:rPr>
          <w:t xml:space="preserve">http://biblioclub.ru/index.php?page=book&amp;id=471231</w:t>
        </w:r>
      </w:hyperlink>
      <w:r>
        <w:rPr>
          <w:sz w:val="28"/>
          <w:szCs w:val="28"/>
        </w:rPr>
        <w:t xml:space="preserve">.</w:t>
      </w:r>
      <w:r/>
    </w:p>
    <w:p>
      <w:pPr>
        <w:pStyle w:val="603"/>
        <w:ind w:firstLine="709"/>
        <w:jc w:val="both"/>
      </w:pPr>
      <w:r>
        <w:rPr>
          <w:sz w:val="28"/>
          <w:szCs w:val="28"/>
        </w:rPr>
        <w:t xml:space="preserve">3. 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</w:t>
      </w:r>
      <w:r>
        <w:rPr>
          <w:sz w:val="28"/>
          <w:szCs w:val="28"/>
        </w:rPr>
        <w:t xml:space="preserve">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 : ил. - Библиогр.: с. 227-234 - ISBN 978-5-4263-0384-3 ; То же [Электронный ресурс]. - URL: </w:t>
      </w:r>
      <w:hyperlink r:id="rId15" w:tooltip="http://biblioclub.ru/index.php?page=book&amp;id=471551" w:history="1">
        <w:r>
          <w:rPr>
            <w:rStyle w:val="633"/>
            <w:sz w:val="28"/>
            <w:szCs w:val="28"/>
          </w:rPr>
          <w:t xml:space="preserve">http://biblioclub.ru/index.php?page=book&amp;id=471551</w:t>
        </w:r>
      </w:hyperlink>
      <w:r>
        <w:rPr>
          <w:sz w:val="28"/>
          <w:szCs w:val="28"/>
        </w:rPr>
        <w:t xml:space="preserve">.</w:t>
      </w:r>
      <w:r/>
    </w:p>
    <w:p>
      <w:pPr>
        <w:pStyle w:val="603"/>
        <w:ind w:firstLine="709"/>
        <w:tabs>
          <w:tab w:val="clear" w:pos="708" w:leader="none"/>
          <w:tab w:val="left" w:pos="1134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в) Интернет-ресурсы: </w:t>
      </w:r>
      <w:r/>
    </w:p>
    <w:p>
      <w:pPr>
        <w:pStyle w:val="603"/>
        <w:ind w:firstLine="720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www.biblioclub.ru – ЭБС «Университетская библиотека онлайн»</w:t>
      </w:r>
      <w:r/>
    </w:p>
    <w:p>
      <w:pPr>
        <w:pStyle w:val="603"/>
        <w:ind w:firstLine="720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www.elibrary.ru–Научная электронная библиотека</w:t>
      </w:r>
      <w:r/>
    </w:p>
    <w:p>
      <w:pPr>
        <w:pStyle w:val="603"/>
        <w:ind w:firstLine="720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www.ebiblioteka.ru – Универсальные базы данных изданий</w:t>
      </w:r>
      <w:r/>
    </w:p>
    <w:p>
      <w:pPr>
        <w:pStyle w:val="603"/>
        <w:ind w:firstLine="720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www. consultant .ru – Справочно-правовая система</w:t>
      </w:r>
      <w:r/>
    </w:p>
    <w:p>
      <w:pPr>
        <w:pStyle w:val="603"/>
        <w:ind w:firstLine="720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www. garant. ru - Справочно-правовая система</w:t>
      </w:r>
      <w:r/>
    </w:p>
    <w:p>
      <w:pPr>
        <w:pStyle w:val="603"/>
        <w:jc w:val="both"/>
        <w:tabs>
          <w:tab w:val="clear" w:pos="708" w:leader="none"/>
          <w:tab w:val="left" w:pos="709" w:leader="none"/>
          <w:tab w:val="right" w:pos="9356" w:leader="underscore"/>
        </w:tabs>
        <w:rPr>
          <w:i/>
          <w:sz w:val="28"/>
          <w:szCs w:val="28"/>
        </w:rPr>
      </w:pPr>
      <w:r>
        <w:rPr>
          <w:i/>
          <w:sz w:val="28"/>
          <w:szCs w:val="28"/>
        </w:rPr>
      </w:r>
      <w:r/>
    </w:p>
    <w:p>
      <w:pPr>
        <w:pStyle w:val="603"/>
        <w:ind w:firstLine="709"/>
        <w:jc w:val="both"/>
        <w:tabs>
          <w:tab w:val="clear" w:pos="708" w:leader="none"/>
          <w:tab w:val="right" w:pos="9356" w:leader="underscore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производственной (методической, проектной) практики, включая перечень программного обеспечения и информационных справочных систем </w:t>
      </w:r>
      <w:r/>
    </w:p>
    <w:p>
      <w:pPr>
        <w:pStyle w:val="603"/>
        <w:ind w:firstLine="709"/>
        <w:jc w:val="both"/>
        <w:tabs>
          <w:tab w:val="clear" w:pos="708" w:leader="none"/>
          <w:tab w:val="right" w:pos="9356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bCs/>
          <w:sz w:val="28"/>
          <w:szCs w:val="28"/>
          <w:lang w:val="en-US"/>
        </w:rPr>
        <w:t xml:space="preserve">MicrosoftOffice</w:t>
      </w:r>
      <w:r/>
    </w:p>
    <w:p>
      <w:pPr>
        <w:pStyle w:val="603"/>
        <w:ind w:firstLine="709"/>
        <w:jc w:val="both"/>
        <w:tabs>
          <w:tab w:val="clear" w:pos="708" w:leader="none"/>
          <w:tab w:val="right" w:pos="9356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>
        <w:rPr>
          <w:bCs/>
          <w:sz w:val="28"/>
          <w:szCs w:val="28"/>
          <w:lang w:val="en-US"/>
        </w:rPr>
        <w:t xml:space="preserve">AdobeOffice</w:t>
      </w:r>
      <w:r/>
    </w:p>
    <w:p>
      <w:pPr>
        <w:pStyle w:val="603"/>
        <w:ind w:firstLine="709"/>
        <w:jc w:val="both"/>
        <w:tabs>
          <w:tab w:val="clear" w:pos="708" w:leader="none"/>
          <w:tab w:val="right" w:pos="9356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>
        <w:rPr>
          <w:bCs/>
          <w:sz w:val="28"/>
          <w:szCs w:val="28"/>
          <w:lang w:val="en-US"/>
        </w:rPr>
        <w:t xml:space="preserve">Moodle</w:t>
      </w:r>
      <w:r>
        <w:rPr>
          <w:bCs/>
          <w:sz w:val="28"/>
          <w:szCs w:val="28"/>
        </w:rPr>
        <w:t xml:space="preserve">.</w:t>
      </w:r>
      <w:r>
        <w:rPr>
          <w:bCs/>
          <w:sz w:val="28"/>
          <w:szCs w:val="28"/>
          <w:lang w:val="en-US"/>
        </w:rPr>
        <w:t xml:space="preserve">miniuniver</w:t>
      </w:r>
      <w:r>
        <w:rPr>
          <w:bCs/>
          <w:sz w:val="28"/>
          <w:szCs w:val="28"/>
        </w:rPr>
        <w:t xml:space="preserve">.</w:t>
      </w:r>
      <w:r>
        <w:rPr>
          <w:bCs/>
          <w:sz w:val="28"/>
          <w:szCs w:val="28"/>
          <w:lang w:val="en-US"/>
        </w:rPr>
        <w:t xml:space="preserve">ru</w:t>
      </w:r>
      <w:r/>
    </w:p>
    <w:p>
      <w:pPr>
        <w:pStyle w:val="603"/>
        <w:ind w:firstLine="709"/>
        <w:jc w:val="both"/>
        <w:tabs>
          <w:tab w:val="clear" w:pos="708" w:leader="none"/>
          <w:tab w:val="right" w:pos="9356" w:leader="underscore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Система анализа текстов на наличие заимствований – Антиплагиат.ВУЗ.</w:t>
      </w:r>
      <w:r/>
    </w:p>
    <w:p>
      <w:pPr>
        <w:pStyle w:val="603"/>
        <w:ind w:firstLine="708"/>
        <w:rPr>
          <w:bCs/>
          <w:i/>
          <w:sz w:val="22"/>
          <w:szCs w:val="22"/>
          <w:lang w:eastAsia="ru-RU"/>
        </w:rPr>
      </w:pPr>
      <w:r>
        <w:rPr>
          <w:bCs/>
          <w:i/>
          <w:sz w:val="22"/>
          <w:szCs w:val="22"/>
          <w:lang w:eastAsia="ru-RU"/>
        </w:rPr>
      </w:r>
      <w:r/>
    </w:p>
    <w:p>
      <w:pPr>
        <w:pStyle w:val="603"/>
        <w:ind w:firstLine="709"/>
        <w:jc w:val="both"/>
        <w:spacing w:after="0" w:before="40"/>
        <w:tabs>
          <w:tab w:val="clear" w:pos="708" w:leader="none"/>
          <w:tab w:val="left" w:pos="1134" w:leader="none"/>
          <w:tab w:val="left" w:pos="1276" w:leader="none"/>
          <w:tab w:val="left" w:pos="1418" w:leader="none"/>
          <w:tab w:val="right" w:pos="9356" w:leader="underscor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>
        <w:rPr>
          <w:b/>
          <w:bCs/>
          <w:sz w:val="28"/>
          <w:szCs w:val="28"/>
        </w:rPr>
        <w:t xml:space="preserve">Материально-техническое обеспечение производственной (методической, проектной) практики</w:t>
      </w:r>
      <w:r/>
    </w:p>
    <w:p>
      <w:pPr>
        <w:pStyle w:val="603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материально-технического обеспечения практики используется материальное оснащение базовой организации.</w:t>
      </w:r>
      <w:r>
        <w:br w:type="page"/>
      </w:r>
      <w:r/>
    </w:p>
    <w:p>
      <w:pPr>
        <w:pStyle w:val="6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ЛИСТ СОГЛАСОВАНИЯ ПРОГРАММЫ ПРАКТИКИ </w:t>
      </w:r>
      <w:r/>
    </w:p>
    <w:p>
      <w:pPr>
        <w:pStyle w:val="603"/>
        <w:jc w:val="center"/>
      </w:pPr>
      <w:r>
        <w:rPr>
          <w:b/>
          <w:sz w:val="28"/>
          <w:szCs w:val="28"/>
        </w:rPr>
        <w:t xml:space="preserve">С ПРЕДСТАВИТЕЛЯМИ РАБОТОДАТЕЛЕЙ И/ИЛИ АКАДЕМИЧЕСКИХ СООБЩЕСТВ</w:t>
      </w:r>
      <w:r/>
    </w:p>
    <w:p>
      <w:pPr>
        <w:pStyle w:val="603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(не менее 2-х представителей)</w:t>
      </w:r>
      <w:r/>
    </w:p>
    <w:p>
      <w:pPr>
        <w:pStyle w:val="603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/>
    </w:p>
    <w:p>
      <w:pPr>
        <w:pStyle w:val="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Эксперт(ы):</w:t>
      </w:r>
      <w:r/>
    </w:p>
    <w:p>
      <w:pPr>
        <w:pStyle w:val="603"/>
        <w:jc w:val="both"/>
        <w:spacing w:lineRule="auto" w:line="276"/>
        <w:tabs>
          <w:tab w:val="clear" w:pos="708" w:leader="none"/>
          <w:tab w:val="right" w:pos="9639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Варакса С.А., к.п.н., директор ГБПОУ «Нижегородский индустриальный колледж;</w:t>
      </w:r>
      <w:r/>
    </w:p>
    <w:p>
      <w:pPr>
        <w:pStyle w:val="603"/>
        <w:jc w:val="both"/>
        <w:spacing w:lineRule="auto" w:line="276"/>
        <w:tabs>
          <w:tab w:val="clear" w:pos="708" w:leader="none"/>
          <w:tab w:val="right" w:pos="9639" w:leader="underscore"/>
        </w:tabs>
        <w:rPr>
          <w:sz w:val="28"/>
          <w:szCs w:val="28"/>
        </w:rPr>
      </w:pPr>
      <w:r>
        <w:rPr>
          <w:sz w:val="28"/>
          <w:szCs w:val="28"/>
        </w:rPr>
        <w:t xml:space="preserve">Липина Т.А., к.п.н., директор ГБПОУ «Нижегородский техникум городского хозяйства и предпринимательства»</w:t>
      </w:r>
      <w:r/>
    </w:p>
    <w:p>
      <w:pPr>
        <w:pStyle w:val="603"/>
        <w:ind w:firstLine="851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i/>
          <w:iCs/>
          <w:sz w:val="22"/>
        </w:rPr>
      </w:pPr>
      <w:r>
        <w:rPr>
          <w:i/>
          <w:iCs/>
          <w:sz w:val="22"/>
        </w:rPr>
      </w:r>
      <w:r/>
    </w:p>
    <w:p>
      <w:pPr>
        <w:pStyle w:val="603"/>
        <w:ind w:firstLine="851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i/>
          <w:iCs/>
          <w:sz w:val="22"/>
        </w:rPr>
      </w:pPr>
      <w:r>
        <w:rPr>
          <w:i/>
          <w:iCs/>
          <w:sz w:val="22"/>
        </w:rPr>
      </w:r>
      <w:r/>
    </w:p>
    <w:p>
      <w:pPr>
        <w:pStyle w:val="603"/>
        <w:ind w:firstLine="851"/>
        <w:jc w:val="both"/>
        <w:tabs>
          <w:tab w:val="clear" w:pos="708" w:leader="none"/>
          <w:tab w:val="left" w:pos="1134" w:leader="none"/>
          <w:tab w:val="right" w:pos="9356" w:leader="underscore"/>
        </w:tabs>
        <w:rPr>
          <w:i/>
          <w:iCs/>
          <w:sz w:val="22"/>
        </w:rPr>
      </w:pPr>
      <w:r>
        <w:rPr>
          <w:i/>
          <w:iCs/>
          <w:sz w:val="22"/>
        </w:rPr>
      </w:r>
      <w:r/>
    </w:p>
    <w:p>
      <w:pPr>
        <w:pStyle w:val="603"/>
        <w:jc w:val="center"/>
        <w:rPr>
          <w:b/>
          <w:i/>
          <w:iCs/>
          <w:sz w:val="28"/>
          <w:szCs w:val="28"/>
        </w:rPr>
      </w:pPr>
      <w:r>
        <w:rPr>
          <w:b/>
          <w:i/>
          <w:iCs/>
          <w:sz w:val="28"/>
          <w:szCs w:val="28"/>
        </w:rPr>
      </w:r>
      <w:r/>
    </w:p>
    <w:p>
      <w:pPr>
        <w:pStyle w:val="6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p>
      <w:pPr>
        <w:pStyle w:val="6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br w:type="page"/>
      </w:r>
      <w:r/>
    </w:p>
    <w:p>
      <w:pPr>
        <w:pStyle w:val="6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ЛИСТ ИЗМЕНЕНИЙ И ДОПОЛНЕНИЙ, </w:t>
      </w:r>
      <w:r/>
    </w:p>
    <w:p>
      <w:pPr>
        <w:pStyle w:val="6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ВНЕСЕННЫХ В ПРОГРАММУ ПРАКТИКИ</w:t>
      </w:r>
      <w:r/>
    </w:p>
    <w:p>
      <w:pPr>
        <w:pStyle w:val="60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/>
    </w:p>
    <w:tbl>
      <w:tblPr>
        <w:tblW w:w="9863" w:type="dxa"/>
        <w:tblInd w:w="-113" w:type="dxa"/>
        <w:tblBorders>
          <w:left w:val="single" w:color="000000" w:sz="4" w:space="0"/>
          <w:top w:val="single" w:color="000000" w:sz="4" w:space="0"/>
          <w:right w:val="single" w:color="000000" w:sz="4" w:space="0"/>
          <w:bottom w:val="single" w:color="000000" w:sz="4" w:space="0"/>
          <w:insideV w:val="single" w:color="000000" w:sz="4" w:space="0"/>
          <w:insideH w:val="single" w:color="000000" w:sz="4" w:space="0"/>
        </w:tblBorders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791"/>
        <w:gridCol w:w="5072"/>
      </w:tblGrid>
      <w:tr>
        <w:trPr/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9863" w:type="dxa"/>
            <w:textDirection w:val="lrTb"/>
            <w:noWrap w:val="false"/>
          </w:tcPr>
          <w:p>
            <w:pPr>
              <w:pStyle w:val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>
              <w:rPr>
                <w:sz w:val="28"/>
                <w:szCs w:val="28"/>
              </w:rPr>
              <w:t xml:space="preserve">изменения, дата изменения; номер страницы с изменением</w:t>
            </w:r>
            <w:r/>
          </w:p>
        </w:tc>
      </w:tr>
      <w:tr>
        <w:trPr/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bottom w:val="single" w:color="000000" w:sz="4" w:space="0"/>
              <w:insideH w:val="single" w:color="000000" w:sz="4" w:space="0"/>
            </w:tcBorders>
            <w:tcW w:w="4791" w:type="dxa"/>
            <w:textDirection w:val="lrTb"/>
            <w:noWrap w:val="false"/>
          </w:tcPr>
          <w:p>
            <w:pPr>
              <w:pStyle w:val="6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БЫЛО</w:t>
            </w:r>
            <w:r/>
          </w:p>
          <w:p>
            <w:pPr>
              <w:pStyle w:val="6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pStyle w:val="6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pStyle w:val="6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</w:tc>
        <w:tc>
          <w:tcPr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5072" w:type="dxa"/>
            <w:textDirection w:val="lrTb"/>
            <w:noWrap w:val="false"/>
          </w:tcPr>
          <w:p>
            <w:pPr>
              <w:pStyle w:val="6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СТАЛО</w:t>
            </w:r>
            <w:r/>
          </w:p>
          <w:p>
            <w:pPr>
              <w:pStyle w:val="6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pStyle w:val="6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pStyle w:val="6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  <w:p>
            <w:pPr>
              <w:pStyle w:val="60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/>
          </w:p>
        </w:tc>
      </w:tr>
      <w:tr>
        <w:trPr/>
        <w:tc>
          <w:tcPr>
            <w:gridSpan w:val="2"/>
            <w:shd w:val="clear" w:fill="auto" w:color="auto"/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  <w:insideV w:val="single" w:color="000000" w:sz="4" w:space="0"/>
              <w:insideH w:val="single" w:color="000000" w:sz="4" w:space="0"/>
            </w:tcBorders>
            <w:tcW w:w="9863" w:type="dxa"/>
            <w:textDirection w:val="lrTb"/>
            <w:noWrap w:val="false"/>
          </w:tcPr>
          <w:p>
            <w:pPr>
              <w:pStyle w:val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Основание:</w:t>
            </w:r>
            <w:r/>
          </w:p>
          <w:p>
            <w:pPr>
              <w:pStyle w:val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  <w:p>
            <w:pPr>
              <w:pStyle w:val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Подпись лица, внесшего изменения</w:t>
            </w:r>
            <w:r/>
          </w:p>
          <w:p>
            <w:pPr>
              <w:pStyle w:val="60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/>
          </w:p>
        </w:tc>
      </w:tr>
    </w:tbl>
    <w:p>
      <w:pPr>
        <w:pStyle w:val="603"/>
        <w:rPr>
          <w:sz w:val="32"/>
        </w:rPr>
      </w:pPr>
      <w:r>
        <w:rPr>
          <w:sz w:val="32"/>
        </w:rPr>
      </w:r>
      <w:r/>
    </w:p>
    <w:sectPr>
      <w:footnotePr/>
      <w:endnotePr/>
      <w:type w:val="nextPage"/>
      <w:pgSz w:w="11906" w:h="16838" w:orient="portrait"/>
      <w:pgMar w:top="1134" w:right="851" w:bottom="1134" w:left="1418" w:header="0" w:footer="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/>
      <w:r>
        <w:separator/>
      </w:r>
      <w:r/>
    </w:p>
  </w:endnote>
  <w:endnote w:type="continuationSeparator" w:id="0">
    <w:p>
      <w:pPr>
        <w:spacing w:lineRule="auto" w:line="240" w:after="0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Tahoma">
    <w:panose1 w:val="020B0506030602030204"/>
  </w:font>
  <w:font w:name="Arial">
    <w:panose1 w:val="020B0604020202020204"/>
  </w:font>
  <w:font w:name="DejaVu Sans">
    <w:panose1 w:val="020B0603030804020204"/>
  </w:font>
  <w:font w:name="Times New Roman">
    <w:panose1 w:val="02020603050405020304"/>
  </w:font>
  <w:font w:name="Cambria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8" w:hanging="360"/>
      </w:pPr>
      <w:rPr>
        <w:b/>
        <w:bCs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">
    <w:multiLevelType w:val="hybridMultilevel"/>
    <w:lvl w:ilvl="0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DejaVu Sans" w:eastAsia="DejaVu Sans" w:hint="default"/>
        <w:sz w:val="24"/>
        <w:szCs w:val="24"/>
        <w:lang w:val="en-US" w:bidi="hi-IN" w:eastAsia="zh-C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603"/>
    <w:next w:val="603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03"/>
    <w:next w:val="603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03"/>
    <w:next w:val="603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603"/>
    <w:next w:val="603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03"/>
    <w:next w:val="603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03"/>
    <w:next w:val="603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03"/>
    <w:next w:val="603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03"/>
    <w:next w:val="603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03"/>
    <w:next w:val="603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603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03"/>
    <w:next w:val="603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603"/>
    <w:next w:val="603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603"/>
    <w:next w:val="603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03"/>
    <w:next w:val="603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603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603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character" w:styleId="45">
    <w:name w:val="Caption Char"/>
    <w:basedOn w:val="641"/>
    <w:link w:val="42"/>
    <w:uiPriority w:val="99"/>
  </w:style>
  <w:style w:type="table" w:styleId="46">
    <w:name w:val="Table Grid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603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endnote text"/>
    <w:basedOn w:val="603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9"/>
    <w:uiPriority w:val="99"/>
    <w:semiHidden/>
    <w:unhideWhenUsed/>
    <w:rPr>
      <w:vertAlign w:val="superscript"/>
    </w:rPr>
  </w:style>
  <w:style w:type="paragraph" w:styleId="179">
    <w:name w:val="toc 1"/>
    <w:basedOn w:val="603"/>
    <w:next w:val="603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03"/>
    <w:next w:val="603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03"/>
    <w:next w:val="603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03"/>
    <w:next w:val="603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03"/>
    <w:next w:val="603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03"/>
    <w:next w:val="603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03"/>
    <w:next w:val="603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03"/>
    <w:next w:val="603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03"/>
    <w:next w:val="603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03"/>
    <w:next w:val="603"/>
    <w:uiPriority w:val="99"/>
    <w:unhideWhenUsed/>
    <w:pPr>
      <w:spacing w:after="0" w:afterAutospacing="0"/>
    </w:pPr>
  </w:style>
  <w:style w:type="paragraph" w:styleId="603" w:default="1">
    <w:name w:val="Normal"/>
    <w:qFormat/>
    <w:rPr>
      <w:rFonts w:ascii="Times New Roman" w:hAnsi="Times New Roman" w:cs="Times New Roman" w:eastAsia="Times New Roman"/>
      <w:color w:val="auto"/>
      <w:sz w:val="24"/>
      <w:szCs w:val="24"/>
      <w:lang w:val="ru-RU" w:bidi="ar-SA" w:eastAsia="zh-CN"/>
    </w:rPr>
    <w:pPr>
      <w:widowControl/>
    </w:pPr>
  </w:style>
  <w:style w:type="character" w:styleId="604">
    <w:name w:val="WW8Num1z0"/>
    <w:qFormat/>
    <w:rPr>
      <w:sz w:val="28"/>
      <w:szCs w:val="28"/>
    </w:rPr>
  </w:style>
  <w:style w:type="character" w:styleId="605">
    <w:name w:val="WW8Num2z0"/>
    <w:qFormat/>
    <w:rPr>
      <w:b/>
      <w:bCs/>
      <w:sz w:val="28"/>
      <w:szCs w:val="28"/>
    </w:rPr>
  </w:style>
  <w:style w:type="character" w:styleId="606">
    <w:name w:val="WW8Num2z1"/>
    <w:qFormat/>
  </w:style>
  <w:style w:type="character" w:styleId="607">
    <w:name w:val="WW8Num2z2"/>
    <w:qFormat/>
  </w:style>
  <w:style w:type="character" w:styleId="608">
    <w:name w:val="WW8Num2z3"/>
    <w:qFormat/>
  </w:style>
  <w:style w:type="character" w:styleId="609">
    <w:name w:val="WW8Num2z4"/>
    <w:qFormat/>
  </w:style>
  <w:style w:type="character" w:styleId="610">
    <w:name w:val="WW8Num2z5"/>
    <w:qFormat/>
  </w:style>
  <w:style w:type="character" w:styleId="611">
    <w:name w:val="WW8Num2z6"/>
    <w:qFormat/>
  </w:style>
  <w:style w:type="character" w:styleId="612">
    <w:name w:val="WW8Num2z7"/>
    <w:qFormat/>
  </w:style>
  <w:style w:type="character" w:styleId="613">
    <w:name w:val="WW8Num2z8"/>
    <w:qFormat/>
  </w:style>
  <w:style w:type="character" w:styleId="614">
    <w:name w:val="WW8Num3z0"/>
    <w:qFormat/>
  </w:style>
  <w:style w:type="character" w:styleId="615">
    <w:name w:val="WW8Num3z1"/>
    <w:qFormat/>
  </w:style>
  <w:style w:type="character" w:styleId="616">
    <w:name w:val="WW8Num3z2"/>
    <w:qFormat/>
  </w:style>
  <w:style w:type="character" w:styleId="617">
    <w:name w:val="WW8Num3z3"/>
    <w:qFormat/>
  </w:style>
  <w:style w:type="character" w:styleId="618">
    <w:name w:val="WW8Num3z4"/>
    <w:qFormat/>
  </w:style>
  <w:style w:type="character" w:styleId="619">
    <w:name w:val="WW8Num3z5"/>
    <w:qFormat/>
  </w:style>
  <w:style w:type="character" w:styleId="620">
    <w:name w:val="WW8Num3z6"/>
    <w:qFormat/>
  </w:style>
  <w:style w:type="character" w:styleId="621">
    <w:name w:val="WW8Num3z7"/>
    <w:qFormat/>
  </w:style>
  <w:style w:type="character" w:styleId="622">
    <w:name w:val="WW8Num3z8"/>
    <w:qFormat/>
  </w:style>
  <w:style w:type="character" w:styleId="623">
    <w:name w:val="WW8Num4z0"/>
    <w:qFormat/>
  </w:style>
  <w:style w:type="character" w:styleId="624">
    <w:name w:val="WW8Num4z1"/>
    <w:qFormat/>
  </w:style>
  <w:style w:type="character" w:styleId="625">
    <w:name w:val="WW8Num4z2"/>
    <w:qFormat/>
  </w:style>
  <w:style w:type="character" w:styleId="626">
    <w:name w:val="WW8Num4z3"/>
    <w:qFormat/>
  </w:style>
  <w:style w:type="character" w:styleId="627">
    <w:name w:val="WW8Num4z4"/>
    <w:qFormat/>
  </w:style>
  <w:style w:type="character" w:styleId="628">
    <w:name w:val="WW8Num4z5"/>
    <w:qFormat/>
  </w:style>
  <w:style w:type="character" w:styleId="629">
    <w:name w:val="WW8Num4z6"/>
    <w:qFormat/>
  </w:style>
  <w:style w:type="character" w:styleId="630">
    <w:name w:val="WW8Num4z7"/>
    <w:qFormat/>
  </w:style>
  <w:style w:type="character" w:styleId="631">
    <w:name w:val="WW8Num4z8"/>
    <w:qFormat/>
  </w:style>
  <w:style w:type="character" w:styleId="632">
    <w:name w:val="Основной шрифт абзаца"/>
    <w:qFormat/>
  </w:style>
  <w:style w:type="character" w:styleId="633">
    <w:name w:val="Internet Link"/>
    <w:rPr>
      <w:color w:val="0000FF"/>
      <w:u w:val="single"/>
    </w:rPr>
  </w:style>
  <w:style w:type="character" w:styleId="634">
    <w:name w:val="Текст выноски Знак"/>
    <w:qFormat/>
    <w:rPr>
      <w:rFonts w:ascii="Tahoma" w:hAnsi="Tahoma" w:cs="Tahoma" w:eastAsia="Times New Roman"/>
      <w:sz w:val="16"/>
      <w:szCs w:val="16"/>
    </w:rPr>
  </w:style>
  <w:style w:type="character" w:styleId="635">
    <w:name w:val="normaltextrun"/>
    <w:basedOn w:val="632"/>
    <w:qFormat/>
  </w:style>
  <w:style w:type="character" w:styleId="636">
    <w:name w:val="eop"/>
    <w:basedOn w:val="632"/>
    <w:qFormat/>
  </w:style>
  <w:style w:type="character" w:styleId="637">
    <w:name w:val="contextualspellingandgrammarerror"/>
    <w:basedOn w:val="632"/>
    <w:qFormat/>
  </w:style>
  <w:style w:type="paragraph" w:styleId="638">
    <w:name w:val="Heading"/>
    <w:basedOn w:val="603"/>
    <w:next w:val="639"/>
    <w:qFormat/>
    <w:rPr>
      <w:rFonts w:ascii="Arial" w:hAnsi="Arial" w:cs="DejaVu Sans" w:eastAsia="DejaVu Sans"/>
      <w:sz w:val="28"/>
      <w:szCs w:val="28"/>
    </w:rPr>
    <w:pPr>
      <w:keepNext/>
      <w:spacing w:after="120" w:before="240"/>
    </w:pPr>
  </w:style>
  <w:style w:type="paragraph" w:styleId="639">
    <w:name w:val="Body Text"/>
    <w:basedOn w:val="603"/>
    <w:pPr>
      <w:spacing w:lineRule="auto" w:line="276" w:after="140" w:before="0"/>
    </w:pPr>
  </w:style>
  <w:style w:type="paragraph" w:styleId="640">
    <w:name w:val="List"/>
    <w:basedOn w:val="639"/>
  </w:style>
  <w:style w:type="paragraph" w:styleId="641">
    <w:name w:val="Caption"/>
    <w:basedOn w:val="603"/>
    <w:qFormat/>
    <w:rPr>
      <w:i/>
      <w:iCs/>
      <w:sz w:val="24"/>
      <w:szCs w:val="24"/>
    </w:rPr>
    <w:pPr>
      <w:spacing w:after="120" w:before="120"/>
      <w:suppressLineNumbers/>
    </w:pPr>
  </w:style>
  <w:style w:type="paragraph" w:styleId="642">
    <w:name w:val="Index"/>
    <w:basedOn w:val="603"/>
    <w:qFormat/>
    <w:pPr>
      <w:suppressLineNumbers/>
    </w:pPr>
  </w:style>
  <w:style w:type="paragraph" w:styleId="643">
    <w:name w:val="Основной текст 21"/>
    <w:basedOn w:val="603"/>
    <w:qFormat/>
    <w:pPr>
      <w:spacing w:lineRule="auto" w:line="480" w:after="120" w:before="0"/>
    </w:pPr>
  </w:style>
  <w:style w:type="paragraph" w:styleId="644">
    <w:name w:val="Default"/>
    <w:qFormat/>
    <w:rPr>
      <w:rFonts w:ascii="Times New Roman" w:hAnsi="Times New Roman" w:cs="Times New Roman" w:eastAsia="Times New Roman"/>
      <w:color w:val="000000"/>
      <w:sz w:val="24"/>
      <w:szCs w:val="24"/>
      <w:lang w:val="ru-RU" w:bidi="ar-SA" w:eastAsia="zh-CN"/>
    </w:rPr>
    <w:pPr>
      <w:widowControl/>
    </w:pPr>
  </w:style>
  <w:style w:type="paragraph" w:styleId="645">
    <w:name w:val="Абзац списка"/>
    <w:basedOn w:val="603"/>
    <w:qFormat/>
    <w:pPr>
      <w:contextualSpacing w:val="true"/>
      <w:ind w:left="720" w:firstLine="0"/>
      <w:spacing w:after="0" w:before="0"/>
    </w:pPr>
  </w:style>
  <w:style w:type="paragraph" w:styleId="646">
    <w:name w:val="Текст выноски"/>
    <w:basedOn w:val="603"/>
    <w:qFormat/>
    <w:rPr>
      <w:rFonts w:ascii="Tahoma" w:hAnsi="Tahoma" w:cs="Tahoma"/>
      <w:sz w:val="16"/>
      <w:szCs w:val="16"/>
    </w:rPr>
  </w:style>
  <w:style w:type="paragraph" w:styleId="647">
    <w:name w:val="ConsPlusNormal"/>
    <w:qFormat/>
    <w:rPr>
      <w:rFonts w:ascii="Arial" w:hAnsi="Arial" w:cs="Arial" w:eastAsia="Times New Roman"/>
      <w:color w:val="auto"/>
      <w:sz w:val="20"/>
      <w:szCs w:val="20"/>
      <w:lang w:val="ru-RU" w:bidi="ar-SA" w:eastAsia="zh-CN"/>
    </w:rPr>
    <w:pPr>
      <w:ind w:firstLine="720"/>
      <w:widowControl w:val="off"/>
    </w:pPr>
  </w:style>
  <w:style w:type="paragraph" w:styleId="648">
    <w:name w:val="Table Contents"/>
    <w:basedOn w:val="603"/>
    <w:qFormat/>
    <w:pPr>
      <w:suppressLineNumbers/>
    </w:pPr>
  </w:style>
  <w:style w:type="paragraph" w:styleId="649">
    <w:name w:val="Table Heading"/>
    <w:basedOn w:val="648"/>
    <w:qFormat/>
    <w:rPr>
      <w:b/>
      <w:bCs/>
    </w:rPr>
    <w:pPr>
      <w:jc w:val="center"/>
      <w:suppressLineNumbers/>
    </w:pPr>
  </w:style>
  <w:style w:type="numbering" w:styleId="650">
    <w:name w:val="WW8Num1"/>
    <w:qFormat/>
  </w:style>
  <w:style w:type="numbering" w:styleId="651">
    <w:name w:val="WW8Num2"/>
    <w:qFormat/>
  </w:style>
  <w:style w:type="numbering" w:styleId="652">
    <w:name w:val="WW8Num3"/>
    <w:qFormat/>
  </w:style>
  <w:style w:type="numbering" w:styleId="653">
    <w:name w:val="WW8Num4"/>
    <w:qFormat/>
  </w:style>
  <w:style w:type="character" w:styleId="3100" w:default="1">
    <w:name w:val="Default Paragraph Font"/>
    <w:uiPriority w:val="1"/>
    <w:semiHidden/>
    <w:unhideWhenUsed/>
  </w:style>
  <w:style w:type="numbering" w:styleId="3101" w:default="1">
    <w:name w:val="No List"/>
    <w:uiPriority w:val="99"/>
    <w:semiHidden/>
    <w:unhideWhenUsed/>
  </w:style>
  <w:style w:type="table" w:styleId="310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http://biblioclub.ru/index.php?page=book&amp;id=482635" TargetMode="External"/><Relationship Id="rId11" Type="http://schemas.openxmlformats.org/officeDocument/2006/relationships/hyperlink" Target="http://biblioclub.ru/index.php?page=book&amp;id=472630" TargetMode="External"/><Relationship Id="rId12" Type="http://schemas.openxmlformats.org/officeDocument/2006/relationships/hyperlink" Target="http://biblioclub.ru/index.php?page=book&amp;id=474292" TargetMode="External"/><Relationship Id="rId13" Type="http://schemas.openxmlformats.org/officeDocument/2006/relationships/hyperlink" Target="http://biblioclub.ru/index.php?page=book&amp;id=436766" TargetMode="External"/><Relationship Id="rId14" Type="http://schemas.openxmlformats.org/officeDocument/2006/relationships/hyperlink" Target="http://biblioclub.ru/index.php?page=book&amp;id=471231" TargetMode="External"/><Relationship Id="rId15" Type="http://schemas.openxmlformats.org/officeDocument/2006/relationships/hyperlink" Target="http://biblioclub.ru/index.php?page=book&amp;id=471551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dc:language>en-US</dc:language>
  <cp:lastModifiedBy>Кафедра ПО и УОС Мининского университета</cp:lastModifiedBy>
  <cp:revision>7</cp:revision>
  <dcterms:created xsi:type="dcterms:W3CDTF">2019-09-04T12:45:00Z</dcterms:created>
  <dcterms:modified xsi:type="dcterms:W3CDTF">2021-09-20T07:56:54Z</dcterms:modified>
</cp:coreProperties>
</file>